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方正小标宋简体" w:hAnsi="仿宋" w:eastAsia="方正小标宋简体" w:cs="Times New Roman"/>
          <w:b/>
          <w:color w:val="auto"/>
          <w:sz w:val="44"/>
          <w:szCs w:val="44"/>
          <w:lang w:eastAsia="zh-CN"/>
        </w:rPr>
      </w:pPr>
      <w:r>
        <w:rPr>
          <w:rFonts w:hint="eastAsia" w:ascii="方正小标宋简体" w:hAnsi="仿宋" w:eastAsia="方正小标宋简体" w:cs="Times New Roman"/>
          <w:b/>
          <w:color w:val="auto"/>
          <w:sz w:val="44"/>
          <w:szCs w:val="44"/>
          <w:lang w:eastAsia="zh-CN"/>
        </w:rPr>
        <w:t>广西工商学校</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方正小标宋简体" w:hAnsi="仿宋" w:eastAsia="方正小标宋简体" w:cs="Times New Roman"/>
          <w:b/>
          <w:color w:val="auto"/>
          <w:sz w:val="44"/>
          <w:szCs w:val="44"/>
        </w:rPr>
      </w:pPr>
      <w:r>
        <w:rPr>
          <w:rFonts w:hint="eastAsia" w:ascii="方正小标宋简体" w:hAnsi="仿宋" w:eastAsia="方正小标宋简体" w:cs="Times New Roman"/>
          <w:b/>
          <w:color w:val="auto"/>
          <w:sz w:val="44"/>
          <w:szCs w:val="44"/>
        </w:rPr>
        <w:t>电子商务专业</w:t>
      </w:r>
      <w:r>
        <w:rPr>
          <w:rFonts w:hint="eastAsia" w:ascii="方正小标宋简体" w:hAnsi="仿宋" w:eastAsia="方正小标宋简体" w:cs="Times New Roman"/>
          <w:b/>
          <w:color w:val="auto"/>
          <w:sz w:val="44"/>
          <w:szCs w:val="44"/>
          <w:lang w:val="en-US" w:eastAsia="zh-CN"/>
        </w:rPr>
        <w:t>2021级</w:t>
      </w:r>
      <w:r>
        <w:rPr>
          <w:rFonts w:hint="eastAsia" w:ascii="方正小标宋简体" w:hAnsi="仿宋" w:eastAsia="方正小标宋简体" w:cs="Times New Roman"/>
          <w:b/>
          <w:color w:val="auto"/>
          <w:sz w:val="44"/>
          <w:szCs w:val="44"/>
        </w:rPr>
        <w:t>人才培养方案</w:t>
      </w:r>
    </w:p>
    <w:p>
      <w:pPr>
        <w:ind w:firstLine="0" w:firstLineChars="0"/>
        <w:jc w:val="center"/>
        <w:rPr>
          <w:rFonts w:ascii="宋体" w:hAnsi="宋体" w:eastAsia="宋体"/>
          <w:color w:val="auto"/>
          <w:sz w:val="44"/>
          <w:szCs w:val="44"/>
        </w:rPr>
      </w:pPr>
    </w:p>
    <w:p>
      <w:pPr>
        <w:pStyle w:val="2"/>
        <w:snapToGrid/>
        <w:spacing w:line="240" w:lineRule="atLeast"/>
        <w:ind w:firstLine="707" w:firstLineChars="220"/>
        <w:rPr>
          <w:color w:val="auto"/>
        </w:rPr>
      </w:pPr>
      <w:r>
        <w:rPr>
          <w:rFonts w:hint="eastAsia"/>
          <w:color w:val="auto"/>
        </w:rPr>
        <w:t>一、专业名称及代码</w:t>
      </w:r>
    </w:p>
    <w:p>
      <w:pPr>
        <w:ind w:firstLine="640"/>
        <w:rPr>
          <w:rFonts w:ascii="仿宋" w:cs="仿宋"/>
          <w:color w:val="auto"/>
        </w:rPr>
      </w:pPr>
      <w:r>
        <w:rPr>
          <w:rFonts w:hint="eastAsia" w:ascii="仿宋" w:hAnsi="仿宋" w:cs="仿宋"/>
          <w:color w:val="auto"/>
        </w:rPr>
        <w:t>专业名称：电子商务</w:t>
      </w:r>
    </w:p>
    <w:p>
      <w:pPr>
        <w:ind w:firstLine="640"/>
        <w:rPr>
          <w:rFonts w:ascii="仿宋" w:cs="仿宋"/>
          <w:color w:val="auto"/>
        </w:rPr>
      </w:pPr>
      <w:r>
        <w:rPr>
          <w:rFonts w:hint="eastAsia" w:ascii="仿宋" w:hAnsi="仿宋" w:cs="仿宋"/>
          <w:color w:val="auto"/>
        </w:rPr>
        <w:t>专业代码：</w:t>
      </w:r>
      <w:r>
        <w:rPr>
          <w:rFonts w:ascii="仿宋" w:hAnsi="仿宋" w:cs="仿宋"/>
          <w:color w:val="auto"/>
        </w:rPr>
        <w:t>121100</w:t>
      </w:r>
    </w:p>
    <w:p>
      <w:pPr>
        <w:pStyle w:val="2"/>
        <w:snapToGrid/>
        <w:spacing w:line="240" w:lineRule="atLeast"/>
        <w:ind w:firstLine="707" w:firstLineChars="220"/>
        <w:rPr>
          <w:color w:val="auto"/>
        </w:rPr>
      </w:pPr>
      <w:r>
        <w:rPr>
          <w:rFonts w:hint="eastAsia"/>
          <w:color w:val="auto"/>
        </w:rPr>
        <w:t>二、入学要求</w:t>
      </w:r>
    </w:p>
    <w:p>
      <w:pPr>
        <w:ind w:firstLine="640"/>
        <w:rPr>
          <w:rFonts w:ascii="仿宋" w:cs="仿宋"/>
          <w:color w:val="auto"/>
        </w:rPr>
      </w:pPr>
      <w:r>
        <w:rPr>
          <w:rFonts w:hint="eastAsia"/>
          <w:color w:val="auto"/>
        </w:rPr>
        <w:t>招生对象：</w:t>
      </w:r>
      <w:r>
        <w:rPr>
          <w:rFonts w:hint="eastAsia" w:ascii="仿宋" w:hAnsi="仿宋" w:cs="仿宋"/>
          <w:color w:val="auto"/>
        </w:rPr>
        <w:t>初中应（历）届毕业生或同等学历者</w:t>
      </w:r>
    </w:p>
    <w:p>
      <w:pPr>
        <w:pStyle w:val="2"/>
        <w:snapToGrid/>
        <w:spacing w:line="240" w:lineRule="atLeast"/>
        <w:ind w:firstLine="707" w:firstLineChars="220"/>
        <w:rPr>
          <w:color w:val="auto"/>
        </w:rPr>
      </w:pPr>
      <w:r>
        <w:rPr>
          <w:rFonts w:hint="eastAsia"/>
          <w:color w:val="auto"/>
        </w:rPr>
        <w:t>三、修业年限</w:t>
      </w:r>
    </w:p>
    <w:p>
      <w:pPr>
        <w:ind w:firstLine="640"/>
        <w:rPr>
          <w:rFonts w:ascii="仿宋" w:cs="仿宋"/>
          <w:color w:val="auto"/>
        </w:rPr>
      </w:pPr>
      <w:r>
        <w:rPr>
          <w:rFonts w:hint="eastAsia" w:ascii="仿宋" w:hAnsi="仿宋" w:cs="仿宋"/>
          <w:color w:val="auto"/>
        </w:rPr>
        <w:t>学制：全日制三年</w:t>
      </w:r>
    </w:p>
    <w:p>
      <w:pPr>
        <w:pStyle w:val="2"/>
        <w:snapToGrid/>
        <w:spacing w:line="240" w:lineRule="atLeast"/>
        <w:ind w:firstLine="707" w:firstLineChars="220"/>
        <w:rPr>
          <w:rFonts w:hint="eastAsia" w:eastAsia="黑体"/>
          <w:color w:val="auto"/>
          <w:lang w:val="en-US" w:eastAsia="zh-CN"/>
        </w:rPr>
      </w:pPr>
      <w:r>
        <w:rPr>
          <w:rFonts w:hint="eastAsia"/>
          <w:color w:val="auto"/>
        </w:rPr>
        <w:t>四、职业面向</w:t>
      </w:r>
      <w:r>
        <w:rPr>
          <w:rFonts w:hint="eastAsia"/>
          <w:color w:val="auto"/>
          <w:lang w:val="en-US" w:eastAsia="zh-CN"/>
        </w:rPr>
        <w:t xml:space="preserve"> </w:t>
      </w:r>
    </w:p>
    <w:tbl>
      <w:tblPr>
        <w:tblStyle w:val="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3"/>
        <w:gridCol w:w="3287"/>
        <w:gridCol w:w="32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53" w:type="dxa"/>
            <w:vAlign w:val="center"/>
          </w:tcPr>
          <w:p>
            <w:pPr>
              <w:spacing w:line="360" w:lineRule="exact"/>
              <w:ind w:firstLine="0" w:firstLineChars="0"/>
              <w:jc w:val="center"/>
              <w:rPr>
                <w:rFonts w:hint="eastAsia" w:ascii="仿宋" w:eastAsia="仿宋" w:cs="Tahoma"/>
                <w:b/>
                <w:bCs/>
                <w:color w:val="auto"/>
                <w:kern w:val="0"/>
                <w:sz w:val="28"/>
                <w:szCs w:val="28"/>
                <w:lang w:eastAsia="zh-CN"/>
              </w:rPr>
            </w:pPr>
            <w:r>
              <w:rPr>
                <w:rFonts w:hint="eastAsia" w:ascii="仿宋" w:hAnsi="仿宋" w:cs="Tahoma"/>
                <w:b/>
                <w:bCs/>
                <w:color w:val="auto"/>
                <w:kern w:val="0"/>
                <w:sz w:val="28"/>
                <w:szCs w:val="28"/>
                <w:lang w:eastAsia="zh-CN"/>
              </w:rPr>
              <w:t>序号</w:t>
            </w:r>
          </w:p>
        </w:tc>
        <w:tc>
          <w:tcPr>
            <w:tcW w:w="3287" w:type="dxa"/>
            <w:vAlign w:val="center"/>
          </w:tcPr>
          <w:p>
            <w:pPr>
              <w:spacing w:line="360" w:lineRule="exact"/>
              <w:ind w:firstLine="0" w:firstLineChars="0"/>
              <w:jc w:val="center"/>
              <w:rPr>
                <w:rFonts w:hint="eastAsia" w:ascii="仿宋" w:hAnsi="仿宋" w:cs="Tahoma"/>
                <w:b/>
                <w:bCs/>
                <w:color w:val="auto"/>
                <w:kern w:val="0"/>
                <w:sz w:val="28"/>
                <w:szCs w:val="28"/>
              </w:rPr>
            </w:pPr>
            <w:r>
              <w:rPr>
                <w:rFonts w:hint="eastAsia" w:ascii="仿宋" w:hAnsi="仿宋" w:cs="Tahoma"/>
                <w:b/>
                <w:bCs/>
                <w:color w:val="auto"/>
                <w:kern w:val="0"/>
                <w:sz w:val="28"/>
                <w:szCs w:val="28"/>
              </w:rPr>
              <w:t>主要岗位类别</w:t>
            </w:r>
          </w:p>
          <w:p>
            <w:pPr>
              <w:spacing w:line="360" w:lineRule="exact"/>
              <w:ind w:firstLine="0" w:firstLineChars="0"/>
              <w:jc w:val="center"/>
              <w:rPr>
                <w:rFonts w:ascii="仿宋" w:cs="Tahoma"/>
                <w:b/>
                <w:bCs/>
                <w:color w:val="auto"/>
                <w:kern w:val="0"/>
                <w:sz w:val="28"/>
                <w:szCs w:val="28"/>
              </w:rPr>
            </w:pPr>
            <w:r>
              <w:rPr>
                <w:rFonts w:hint="eastAsia" w:ascii="仿宋" w:hAnsi="仿宋" w:cs="Tahoma"/>
                <w:b/>
                <w:bCs/>
                <w:color w:val="auto"/>
                <w:kern w:val="0"/>
                <w:sz w:val="28"/>
                <w:szCs w:val="28"/>
              </w:rPr>
              <w:t>（或技术领域）</w:t>
            </w:r>
          </w:p>
        </w:tc>
        <w:tc>
          <w:tcPr>
            <w:tcW w:w="3221" w:type="dxa"/>
            <w:vAlign w:val="center"/>
          </w:tcPr>
          <w:p>
            <w:pPr>
              <w:spacing w:line="360" w:lineRule="exact"/>
              <w:ind w:firstLine="0" w:firstLineChars="0"/>
              <w:jc w:val="center"/>
              <w:rPr>
                <w:rFonts w:ascii="仿宋" w:cs="Tahoma"/>
                <w:b/>
                <w:bCs/>
                <w:color w:val="auto"/>
                <w:kern w:val="0"/>
                <w:sz w:val="28"/>
                <w:szCs w:val="28"/>
              </w:rPr>
            </w:pPr>
            <w:r>
              <w:rPr>
                <w:rFonts w:hint="eastAsia" w:ascii="仿宋" w:hAnsi="仿宋" w:cs="Tahoma"/>
                <w:b/>
                <w:bCs/>
                <w:color w:val="auto"/>
                <w:kern w:val="0"/>
                <w:sz w:val="28"/>
                <w:szCs w:val="28"/>
              </w:rPr>
              <w:t>职业资格证书或技能等级证书举例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2553" w:type="dxa"/>
            <w:vAlign w:val="center"/>
          </w:tcPr>
          <w:p>
            <w:pPr>
              <w:spacing w:line="360" w:lineRule="exact"/>
              <w:ind w:firstLine="0" w:firstLineChars="0"/>
              <w:jc w:val="center"/>
              <w:rPr>
                <w:rFonts w:hint="default" w:ascii="Times New Roman" w:hAnsi="Times New Roman" w:cs="Tahoma"/>
                <w:bCs/>
                <w:color w:val="auto"/>
                <w:kern w:val="0"/>
                <w:sz w:val="28"/>
                <w:szCs w:val="28"/>
                <w:lang w:val="en-US" w:eastAsia="zh-CN"/>
              </w:rPr>
            </w:pPr>
            <w:r>
              <w:rPr>
                <w:rFonts w:hint="eastAsia" w:ascii="Times New Roman" w:hAnsi="Times New Roman" w:cs="Tahoma"/>
                <w:bCs/>
                <w:color w:val="auto"/>
                <w:kern w:val="0"/>
                <w:sz w:val="28"/>
                <w:szCs w:val="28"/>
                <w:lang w:val="en-US" w:eastAsia="zh-CN"/>
              </w:rPr>
              <w:t>1</w:t>
            </w:r>
          </w:p>
        </w:tc>
        <w:tc>
          <w:tcPr>
            <w:tcW w:w="3287" w:type="dxa"/>
            <w:vAlign w:val="center"/>
          </w:tcPr>
          <w:p>
            <w:pPr>
              <w:spacing w:line="360" w:lineRule="exact"/>
              <w:ind w:firstLine="0" w:firstLineChars="0"/>
              <w:jc w:val="center"/>
              <w:rPr>
                <w:rFonts w:hint="eastAsia" w:ascii="Times New Roman" w:hAnsi="Times New Roman" w:cs="Tahoma"/>
                <w:bCs/>
                <w:color w:val="auto"/>
                <w:kern w:val="0"/>
                <w:sz w:val="28"/>
                <w:szCs w:val="28"/>
              </w:rPr>
            </w:pPr>
            <w:r>
              <w:rPr>
                <w:rFonts w:hint="eastAsia" w:ascii="Calibri" w:hAnsi="Calibri" w:eastAsia="仿宋" w:cs="Tahoma"/>
                <w:bCs/>
                <w:color w:val="auto"/>
                <w:kern w:val="0"/>
                <w:sz w:val="28"/>
                <w:szCs w:val="28"/>
                <w:lang w:val="en-US" w:eastAsia="zh-CN" w:bidi="ar-SA"/>
              </w:rPr>
              <w:t>电商主播</w:t>
            </w:r>
            <w:r>
              <w:rPr>
                <w:rFonts w:hint="eastAsia" w:cs="Tahoma"/>
                <w:bCs/>
                <w:color w:val="auto"/>
                <w:kern w:val="0"/>
                <w:sz w:val="28"/>
                <w:szCs w:val="28"/>
                <w:lang w:val="en-US" w:eastAsia="zh-CN" w:bidi="ar-SA"/>
              </w:rPr>
              <w:t>、直播助理</w:t>
            </w:r>
          </w:p>
        </w:tc>
        <w:tc>
          <w:tcPr>
            <w:tcW w:w="3221" w:type="dxa"/>
            <w:vAlign w:val="center"/>
          </w:tcPr>
          <w:p>
            <w:pPr>
              <w:pStyle w:val="7"/>
              <w:widowControl/>
              <w:spacing w:beforeAutospacing="0" w:afterAutospacing="0" w:line="240" w:lineRule="auto"/>
              <w:ind w:firstLine="0" w:firstLineChars="0"/>
              <w:jc w:val="both"/>
              <w:rPr>
                <w:rFonts w:hint="eastAsia" w:ascii="Times New Roman" w:hAnsi="Times New Roman" w:eastAsia="仿宋" w:cs="Tahoma"/>
                <w:bCs/>
                <w:color w:val="auto"/>
                <w:kern w:val="0"/>
                <w:sz w:val="28"/>
                <w:szCs w:val="28"/>
                <w:lang w:val="en-US" w:eastAsia="zh-CN" w:bidi="ar-SA"/>
              </w:rPr>
            </w:pPr>
            <w:r>
              <w:rPr>
                <w:rFonts w:hint="eastAsia" w:cs="Tahoma"/>
                <w:bCs/>
                <w:color w:val="auto"/>
                <w:sz w:val="28"/>
                <w:szCs w:val="28"/>
              </w:rPr>
              <w:t>直播电商职业技能等级证书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2553" w:type="dxa"/>
            <w:vAlign w:val="center"/>
          </w:tcPr>
          <w:p>
            <w:pPr>
              <w:spacing w:line="360" w:lineRule="exact"/>
              <w:ind w:firstLine="0" w:firstLineChars="0"/>
              <w:jc w:val="center"/>
              <w:rPr>
                <w:rFonts w:hint="default" w:ascii="Times New Roman" w:hAnsi="Times New Roman" w:cs="Tahoma"/>
                <w:bCs/>
                <w:color w:val="auto"/>
                <w:kern w:val="0"/>
                <w:sz w:val="28"/>
                <w:szCs w:val="28"/>
                <w:lang w:val="en-US" w:eastAsia="zh-CN"/>
              </w:rPr>
            </w:pPr>
            <w:r>
              <w:rPr>
                <w:rFonts w:hint="eastAsia" w:ascii="Times New Roman" w:hAnsi="Times New Roman" w:cs="Tahoma"/>
                <w:bCs/>
                <w:color w:val="auto"/>
                <w:kern w:val="0"/>
                <w:sz w:val="28"/>
                <w:szCs w:val="28"/>
                <w:lang w:val="en-US" w:eastAsia="zh-CN"/>
              </w:rPr>
              <w:t>2</w:t>
            </w:r>
          </w:p>
        </w:tc>
        <w:tc>
          <w:tcPr>
            <w:tcW w:w="3287" w:type="dxa"/>
            <w:vAlign w:val="center"/>
          </w:tcPr>
          <w:p>
            <w:pPr>
              <w:spacing w:line="360" w:lineRule="exact"/>
              <w:ind w:firstLine="0" w:firstLineChars="0"/>
              <w:jc w:val="center"/>
              <w:rPr>
                <w:rFonts w:hint="eastAsia" w:ascii="Times New Roman" w:hAnsi="Times New Roman" w:eastAsia="仿宋" w:cs="Tahoma"/>
                <w:bCs/>
                <w:color w:val="auto"/>
                <w:kern w:val="0"/>
                <w:sz w:val="28"/>
                <w:szCs w:val="28"/>
                <w:lang w:eastAsia="zh-CN"/>
              </w:rPr>
            </w:pPr>
            <w:r>
              <w:rPr>
                <w:rFonts w:hint="eastAsia" w:ascii="Times New Roman" w:hAnsi="Times New Roman" w:cs="Tahoma"/>
                <w:bCs/>
                <w:color w:val="auto"/>
                <w:kern w:val="0"/>
                <w:sz w:val="28"/>
                <w:szCs w:val="28"/>
                <w:lang w:eastAsia="zh-CN"/>
              </w:rPr>
              <w:t>电商数据分析员</w:t>
            </w:r>
          </w:p>
        </w:tc>
        <w:tc>
          <w:tcPr>
            <w:tcW w:w="3221" w:type="dxa"/>
            <w:vAlign w:val="center"/>
          </w:tcPr>
          <w:p>
            <w:pPr>
              <w:pStyle w:val="7"/>
              <w:widowControl/>
              <w:spacing w:beforeAutospacing="0" w:afterAutospacing="0" w:line="240" w:lineRule="auto"/>
              <w:ind w:firstLine="0" w:firstLineChars="0"/>
              <w:rPr>
                <w:rFonts w:hint="eastAsia" w:ascii="Calibri" w:hAnsi="Calibri" w:eastAsia="仿宋" w:cs="Tahoma"/>
                <w:bCs/>
                <w:color w:val="auto"/>
                <w:kern w:val="0"/>
                <w:sz w:val="28"/>
                <w:szCs w:val="28"/>
                <w:lang w:val="en-US" w:eastAsia="zh-CN" w:bidi="ar-SA"/>
              </w:rPr>
            </w:pPr>
            <w:r>
              <w:rPr>
                <w:rFonts w:hint="eastAsia" w:cs="Tahoma"/>
                <w:bCs/>
                <w:color w:val="auto"/>
                <w:kern w:val="0"/>
                <w:sz w:val="28"/>
                <w:szCs w:val="28"/>
              </w:rPr>
              <w:t>商务数据分析专项职业能力</w:t>
            </w:r>
            <w:r>
              <w:rPr>
                <w:rFonts w:hint="eastAsia" w:ascii="Times New Roman" w:hAnsi="Times New Roman" w:cs="Tahoma"/>
                <w:bCs/>
                <w:color w:val="auto"/>
                <w:kern w:val="0"/>
                <w:sz w:val="28"/>
                <w:szCs w:val="28"/>
              </w:rPr>
              <w:t>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2553" w:type="dxa"/>
            <w:vMerge w:val="restart"/>
            <w:vAlign w:val="center"/>
          </w:tcPr>
          <w:p>
            <w:pPr>
              <w:spacing w:line="360" w:lineRule="exact"/>
              <w:ind w:firstLine="0" w:firstLineChars="0"/>
              <w:jc w:val="center"/>
              <w:rPr>
                <w:rFonts w:hint="default" w:ascii="Times New Roman" w:hAnsi="Times New Roman" w:cs="Tahoma"/>
                <w:bCs/>
                <w:color w:val="auto"/>
                <w:kern w:val="0"/>
                <w:sz w:val="28"/>
                <w:szCs w:val="28"/>
                <w:lang w:val="en-US" w:eastAsia="zh-CN"/>
              </w:rPr>
            </w:pPr>
            <w:r>
              <w:rPr>
                <w:rFonts w:hint="eastAsia" w:ascii="Times New Roman" w:hAnsi="Times New Roman" w:cs="Tahoma"/>
                <w:bCs/>
                <w:color w:val="auto"/>
                <w:kern w:val="0"/>
                <w:sz w:val="28"/>
                <w:szCs w:val="28"/>
                <w:lang w:val="en-US" w:eastAsia="zh-CN"/>
              </w:rPr>
              <w:t>3</w:t>
            </w:r>
          </w:p>
        </w:tc>
        <w:tc>
          <w:tcPr>
            <w:tcW w:w="3287" w:type="dxa"/>
            <w:vMerge w:val="restart"/>
            <w:vAlign w:val="center"/>
          </w:tcPr>
          <w:p>
            <w:pPr>
              <w:spacing w:line="360" w:lineRule="exact"/>
              <w:ind w:firstLine="0" w:firstLineChars="0"/>
              <w:jc w:val="center"/>
              <w:rPr>
                <w:rFonts w:hint="eastAsia" w:ascii="Times New Roman" w:hAnsi="Times New Roman" w:eastAsia="仿宋" w:cs="Tahoma"/>
                <w:bCs/>
                <w:color w:val="auto"/>
                <w:kern w:val="0"/>
                <w:sz w:val="28"/>
                <w:szCs w:val="28"/>
                <w:lang w:eastAsia="zh-CN"/>
              </w:rPr>
            </w:pPr>
            <w:r>
              <w:rPr>
                <w:rFonts w:hint="eastAsia" w:ascii="Times New Roman" w:hAnsi="Times New Roman" w:cs="Tahoma"/>
                <w:bCs/>
                <w:color w:val="auto"/>
                <w:kern w:val="0"/>
                <w:sz w:val="28"/>
                <w:szCs w:val="28"/>
                <w:lang w:eastAsia="zh-CN"/>
              </w:rPr>
              <w:t>电商客服</w:t>
            </w:r>
          </w:p>
        </w:tc>
        <w:tc>
          <w:tcPr>
            <w:tcW w:w="3221" w:type="dxa"/>
            <w:vAlign w:val="center"/>
          </w:tcPr>
          <w:p>
            <w:pPr>
              <w:pStyle w:val="7"/>
              <w:widowControl/>
              <w:spacing w:beforeAutospacing="0" w:afterAutospacing="0" w:line="240" w:lineRule="auto"/>
              <w:ind w:firstLine="0" w:firstLineChars="0"/>
              <w:rPr>
                <w:rFonts w:hint="eastAsia" w:ascii="Calibri" w:hAnsi="Calibri" w:eastAsia="仿宋" w:cs="Tahoma"/>
                <w:bCs/>
                <w:color w:val="auto"/>
                <w:kern w:val="0"/>
                <w:sz w:val="28"/>
                <w:szCs w:val="28"/>
                <w:lang w:val="en-US" w:eastAsia="zh-CN" w:bidi="ar-SA"/>
              </w:rPr>
            </w:pPr>
            <w:r>
              <w:rPr>
                <w:rFonts w:hint="eastAsia" w:cs="Tahoma"/>
                <w:bCs/>
                <w:color w:val="auto"/>
                <w:sz w:val="28"/>
                <w:szCs w:val="28"/>
                <w:lang w:val="en-US" w:eastAsia="zh-CN"/>
              </w:rPr>
              <w:t>呼叫中心客户服务与管理职业技能等级证书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2553" w:type="dxa"/>
            <w:vMerge w:val="continue"/>
            <w:vAlign w:val="center"/>
          </w:tcPr>
          <w:p>
            <w:pPr>
              <w:spacing w:line="360" w:lineRule="exact"/>
              <w:ind w:firstLine="0" w:firstLineChars="0"/>
              <w:jc w:val="center"/>
              <w:rPr>
                <w:rFonts w:hint="eastAsia" w:ascii="Times New Roman" w:hAnsi="Times New Roman" w:cs="Tahoma"/>
                <w:bCs/>
                <w:color w:val="auto"/>
                <w:kern w:val="0"/>
                <w:sz w:val="28"/>
                <w:szCs w:val="28"/>
                <w:lang w:val="en-US" w:eastAsia="zh-CN"/>
              </w:rPr>
            </w:pPr>
          </w:p>
        </w:tc>
        <w:tc>
          <w:tcPr>
            <w:tcW w:w="3287" w:type="dxa"/>
            <w:vMerge w:val="continue"/>
            <w:vAlign w:val="center"/>
          </w:tcPr>
          <w:p>
            <w:pPr>
              <w:spacing w:line="360" w:lineRule="exact"/>
              <w:ind w:firstLine="0" w:firstLineChars="0"/>
              <w:jc w:val="center"/>
              <w:rPr>
                <w:rFonts w:hint="eastAsia" w:ascii="Times New Roman" w:hAnsi="Times New Roman" w:cs="Tahoma"/>
                <w:bCs/>
                <w:color w:val="auto"/>
                <w:kern w:val="0"/>
                <w:sz w:val="28"/>
                <w:szCs w:val="28"/>
                <w:lang w:eastAsia="zh-CN"/>
              </w:rPr>
            </w:pPr>
          </w:p>
        </w:tc>
        <w:tc>
          <w:tcPr>
            <w:tcW w:w="3221" w:type="dxa"/>
            <w:vAlign w:val="center"/>
          </w:tcPr>
          <w:p>
            <w:pPr>
              <w:pStyle w:val="7"/>
              <w:widowControl/>
              <w:spacing w:beforeAutospacing="0" w:afterAutospacing="0" w:line="240" w:lineRule="auto"/>
              <w:ind w:firstLine="0" w:firstLineChars="0"/>
              <w:rPr>
                <w:rFonts w:hint="eastAsia" w:cs="Tahoma"/>
                <w:bCs/>
                <w:color w:val="auto"/>
                <w:sz w:val="28"/>
                <w:szCs w:val="28"/>
                <w:lang w:val="en-US" w:eastAsia="zh-CN"/>
              </w:rPr>
            </w:pPr>
            <w:r>
              <w:rPr>
                <w:rFonts w:ascii="Times New Roman" w:hAnsi="Times New Roman" w:cs="Tahoma"/>
                <w:bCs/>
                <w:color w:val="auto"/>
                <w:kern w:val="0"/>
                <w:sz w:val="28"/>
                <w:szCs w:val="28"/>
              </w:rPr>
              <w:t>电子商务客户服务职业技能等级</w:t>
            </w:r>
            <w:r>
              <w:rPr>
                <w:rFonts w:hint="eastAsia" w:ascii="Times New Roman" w:hAnsi="Times New Roman" w:cs="Tahoma"/>
                <w:bCs/>
                <w:color w:val="auto"/>
                <w:kern w:val="0"/>
                <w:sz w:val="28"/>
                <w:szCs w:val="28"/>
                <w:lang w:eastAsia="zh-CN"/>
              </w:rPr>
              <w:t>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2553" w:type="dxa"/>
            <w:vAlign w:val="center"/>
          </w:tcPr>
          <w:p>
            <w:pPr>
              <w:spacing w:line="360" w:lineRule="exact"/>
              <w:ind w:firstLine="0" w:firstLineChars="0"/>
              <w:jc w:val="center"/>
              <w:rPr>
                <w:rFonts w:hint="default" w:ascii="Times New Roman" w:hAnsi="Times New Roman" w:cs="Tahoma"/>
                <w:bCs/>
                <w:color w:val="auto"/>
                <w:kern w:val="0"/>
                <w:sz w:val="28"/>
                <w:szCs w:val="28"/>
                <w:lang w:val="en-US" w:eastAsia="zh-CN"/>
              </w:rPr>
            </w:pPr>
            <w:r>
              <w:rPr>
                <w:rFonts w:hint="eastAsia" w:ascii="Times New Roman" w:hAnsi="Times New Roman" w:cs="Tahoma"/>
                <w:bCs/>
                <w:color w:val="auto"/>
                <w:kern w:val="0"/>
                <w:sz w:val="28"/>
                <w:szCs w:val="28"/>
                <w:lang w:val="en-US" w:eastAsia="zh-CN"/>
              </w:rPr>
              <w:t>4</w:t>
            </w:r>
          </w:p>
        </w:tc>
        <w:tc>
          <w:tcPr>
            <w:tcW w:w="3287" w:type="dxa"/>
            <w:vAlign w:val="center"/>
          </w:tcPr>
          <w:p>
            <w:pPr>
              <w:spacing w:line="360" w:lineRule="exact"/>
              <w:ind w:firstLine="0" w:firstLineChars="0"/>
              <w:jc w:val="center"/>
              <w:rPr>
                <w:rFonts w:hint="eastAsia" w:ascii="Times New Roman" w:hAnsi="Times New Roman" w:cs="Tahoma"/>
                <w:bCs/>
                <w:color w:val="auto"/>
                <w:kern w:val="0"/>
                <w:sz w:val="28"/>
                <w:szCs w:val="28"/>
                <w:lang w:eastAsia="zh-CN"/>
              </w:rPr>
            </w:pPr>
            <w:r>
              <w:rPr>
                <w:rFonts w:hint="eastAsia" w:ascii="Times New Roman" w:hAnsi="Times New Roman" w:cs="Tahoma"/>
                <w:bCs/>
                <w:color w:val="auto"/>
                <w:kern w:val="0"/>
                <w:sz w:val="28"/>
                <w:szCs w:val="28"/>
                <w:lang w:eastAsia="zh-CN"/>
              </w:rPr>
              <w:t>网店店主、</w:t>
            </w:r>
            <w:r>
              <w:rPr>
                <w:rFonts w:hint="eastAsia" w:ascii="Times New Roman" w:hAnsi="Times New Roman" w:cs="Tahoma"/>
                <w:bCs/>
                <w:color w:val="auto"/>
                <w:kern w:val="0"/>
                <w:sz w:val="28"/>
                <w:szCs w:val="28"/>
                <w:lang w:val="en-US" w:eastAsia="zh-CN"/>
              </w:rPr>
              <w:t>运营助理</w:t>
            </w:r>
          </w:p>
        </w:tc>
        <w:tc>
          <w:tcPr>
            <w:tcW w:w="3221" w:type="dxa"/>
            <w:vAlign w:val="center"/>
          </w:tcPr>
          <w:p>
            <w:pPr>
              <w:pStyle w:val="7"/>
              <w:widowControl/>
              <w:spacing w:beforeAutospacing="0" w:afterAutospacing="0" w:line="240" w:lineRule="auto"/>
              <w:ind w:firstLine="0" w:firstLineChars="0"/>
              <w:rPr>
                <w:rFonts w:hint="eastAsia" w:ascii="Calibri" w:hAnsi="Calibri" w:eastAsia="仿宋" w:cs="Tahoma"/>
                <w:bCs/>
                <w:color w:val="auto"/>
                <w:kern w:val="0"/>
                <w:sz w:val="28"/>
                <w:szCs w:val="28"/>
                <w:lang w:val="en-US" w:eastAsia="zh-CN" w:bidi="ar-SA"/>
              </w:rPr>
            </w:pPr>
            <w:r>
              <w:rPr>
                <w:rFonts w:hint="eastAsia" w:cs="Tahoma"/>
                <w:bCs/>
                <w:color w:val="auto"/>
                <w:sz w:val="28"/>
                <w:szCs w:val="28"/>
                <w:lang w:val="en-US" w:eastAsia="zh-CN"/>
              </w:rPr>
              <w:t>网店运营推广职业技能等级证书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2553" w:type="dxa"/>
            <w:vAlign w:val="center"/>
          </w:tcPr>
          <w:p>
            <w:pPr>
              <w:spacing w:line="360" w:lineRule="exact"/>
              <w:ind w:firstLine="0" w:firstLineChars="0"/>
              <w:jc w:val="center"/>
              <w:rPr>
                <w:rFonts w:hint="default" w:ascii="Times New Roman" w:hAnsi="Times New Roman" w:cs="Tahoma"/>
                <w:bCs/>
                <w:color w:val="auto"/>
                <w:kern w:val="0"/>
                <w:sz w:val="28"/>
                <w:szCs w:val="28"/>
                <w:lang w:val="en-US" w:eastAsia="zh-CN"/>
              </w:rPr>
            </w:pPr>
            <w:r>
              <w:rPr>
                <w:rFonts w:hint="eastAsia" w:ascii="Times New Roman" w:hAnsi="Times New Roman" w:cs="Tahoma"/>
                <w:bCs/>
                <w:color w:val="auto"/>
                <w:kern w:val="0"/>
                <w:sz w:val="28"/>
                <w:szCs w:val="28"/>
                <w:lang w:val="en-US" w:eastAsia="zh-CN"/>
              </w:rPr>
              <w:t>5</w:t>
            </w:r>
          </w:p>
        </w:tc>
        <w:tc>
          <w:tcPr>
            <w:tcW w:w="3287" w:type="dxa"/>
            <w:vAlign w:val="center"/>
          </w:tcPr>
          <w:p>
            <w:pPr>
              <w:spacing w:line="360" w:lineRule="exact"/>
              <w:ind w:firstLine="0" w:firstLineChars="0"/>
              <w:jc w:val="center"/>
              <w:rPr>
                <w:rFonts w:hint="eastAsia" w:ascii="Times New Roman" w:hAnsi="Times New Roman" w:cs="Tahoma"/>
                <w:bCs/>
                <w:color w:val="auto"/>
                <w:kern w:val="0"/>
                <w:sz w:val="28"/>
                <w:szCs w:val="28"/>
                <w:lang w:eastAsia="zh-CN"/>
              </w:rPr>
            </w:pPr>
            <w:r>
              <w:rPr>
                <w:rFonts w:hint="eastAsia" w:ascii="Times New Roman" w:hAnsi="Times New Roman" w:cs="Tahoma"/>
                <w:bCs/>
                <w:color w:val="auto"/>
                <w:kern w:val="0"/>
                <w:sz w:val="28"/>
                <w:szCs w:val="28"/>
                <w:lang w:eastAsia="zh-CN"/>
              </w:rPr>
              <w:t>营销工程技术人员</w:t>
            </w:r>
          </w:p>
        </w:tc>
        <w:tc>
          <w:tcPr>
            <w:tcW w:w="3221" w:type="dxa"/>
            <w:vAlign w:val="center"/>
          </w:tcPr>
          <w:p>
            <w:pPr>
              <w:pStyle w:val="7"/>
              <w:widowControl/>
              <w:spacing w:beforeAutospacing="0" w:afterAutospacing="0" w:line="240" w:lineRule="auto"/>
              <w:ind w:firstLine="0" w:firstLineChars="0"/>
              <w:rPr>
                <w:rFonts w:hint="eastAsia" w:ascii="Calibri" w:hAnsi="Calibri" w:eastAsia="仿宋" w:cs="Tahoma"/>
                <w:bCs/>
                <w:color w:val="auto"/>
                <w:kern w:val="0"/>
                <w:sz w:val="28"/>
                <w:szCs w:val="28"/>
                <w:lang w:val="en-US" w:eastAsia="zh-CN" w:bidi="ar-SA"/>
              </w:rPr>
            </w:pPr>
            <w:r>
              <w:rPr>
                <w:rFonts w:hint="eastAsia" w:ascii="Calibri" w:hAnsi="Calibri" w:cs="Tahoma"/>
                <w:bCs/>
                <w:color w:val="auto"/>
                <w:sz w:val="28"/>
                <w:szCs w:val="28"/>
              </w:rPr>
              <w:t>新媒体运营职业技能等级</w:t>
            </w:r>
            <w:r>
              <w:rPr>
                <w:rFonts w:hint="eastAsia" w:ascii="Calibri" w:hAnsi="Calibri" w:cs="Tahoma"/>
                <w:bCs/>
                <w:color w:val="auto"/>
                <w:sz w:val="28"/>
                <w:szCs w:val="28"/>
                <w:lang w:eastAsia="zh-CN"/>
              </w:rPr>
              <w:t>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2553" w:type="dxa"/>
            <w:vAlign w:val="center"/>
          </w:tcPr>
          <w:p>
            <w:pPr>
              <w:spacing w:line="360" w:lineRule="exact"/>
              <w:ind w:firstLine="0" w:firstLineChars="0"/>
              <w:jc w:val="center"/>
              <w:rPr>
                <w:rFonts w:hint="default" w:ascii="Times New Roman" w:hAnsi="Times New Roman" w:cs="Tahoma"/>
                <w:bCs/>
                <w:color w:val="auto"/>
                <w:kern w:val="0"/>
                <w:sz w:val="28"/>
                <w:szCs w:val="28"/>
                <w:lang w:val="en-US" w:eastAsia="zh-CN"/>
              </w:rPr>
            </w:pPr>
            <w:r>
              <w:rPr>
                <w:rFonts w:hint="eastAsia" w:ascii="Times New Roman" w:hAnsi="Times New Roman" w:cs="Tahoma"/>
                <w:bCs/>
                <w:color w:val="auto"/>
                <w:kern w:val="0"/>
                <w:sz w:val="28"/>
                <w:szCs w:val="28"/>
                <w:lang w:val="en-US" w:eastAsia="zh-CN"/>
              </w:rPr>
              <w:t>6</w:t>
            </w:r>
          </w:p>
        </w:tc>
        <w:tc>
          <w:tcPr>
            <w:tcW w:w="3287" w:type="dxa"/>
            <w:vAlign w:val="center"/>
          </w:tcPr>
          <w:p>
            <w:pPr>
              <w:spacing w:line="360" w:lineRule="exact"/>
              <w:ind w:firstLine="0" w:firstLineChars="0"/>
              <w:jc w:val="center"/>
              <w:rPr>
                <w:rFonts w:hint="eastAsia" w:ascii="Times New Roman" w:hAnsi="Times New Roman" w:cs="Tahoma"/>
                <w:bCs/>
                <w:color w:val="auto"/>
                <w:kern w:val="0"/>
                <w:sz w:val="28"/>
                <w:szCs w:val="28"/>
                <w:lang w:eastAsia="zh-CN"/>
              </w:rPr>
            </w:pPr>
            <w:r>
              <w:rPr>
                <w:rFonts w:hint="eastAsia" w:ascii="Times New Roman" w:hAnsi="Times New Roman" w:cs="Tahoma"/>
                <w:bCs/>
                <w:color w:val="auto"/>
                <w:kern w:val="0"/>
                <w:sz w:val="28"/>
                <w:szCs w:val="28"/>
                <w:lang w:eastAsia="zh-CN"/>
              </w:rPr>
              <w:t>网店店主、</w:t>
            </w:r>
            <w:r>
              <w:rPr>
                <w:rFonts w:hint="eastAsia" w:ascii="Times New Roman" w:hAnsi="Times New Roman" w:cs="Tahoma"/>
                <w:bCs/>
                <w:color w:val="auto"/>
                <w:kern w:val="0"/>
                <w:sz w:val="28"/>
                <w:szCs w:val="28"/>
                <w:lang w:val="en-US" w:eastAsia="zh-CN"/>
              </w:rPr>
              <w:t>运营助理</w:t>
            </w:r>
          </w:p>
        </w:tc>
        <w:tc>
          <w:tcPr>
            <w:tcW w:w="3221" w:type="dxa"/>
            <w:vAlign w:val="center"/>
          </w:tcPr>
          <w:p>
            <w:pPr>
              <w:pStyle w:val="7"/>
              <w:widowControl/>
              <w:spacing w:beforeAutospacing="0" w:afterAutospacing="0" w:line="240" w:lineRule="auto"/>
              <w:ind w:firstLine="0" w:firstLineChars="0"/>
              <w:rPr>
                <w:rFonts w:hint="eastAsia" w:ascii="Calibri" w:hAnsi="Calibri" w:eastAsia="仿宋" w:cs="Tahoma"/>
                <w:bCs/>
                <w:color w:val="auto"/>
                <w:kern w:val="0"/>
                <w:sz w:val="28"/>
                <w:szCs w:val="28"/>
                <w:lang w:val="en-US" w:eastAsia="zh-CN" w:bidi="ar-SA"/>
              </w:rPr>
            </w:pPr>
            <w:r>
              <w:rPr>
                <w:rFonts w:hint="eastAsia" w:ascii="Calibri" w:hAnsi="Calibri" w:cs="Tahoma"/>
                <w:bCs/>
                <w:color w:val="auto"/>
                <w:sz w:val="28"/>
                <w:szCs w:val="28"/>
              </w:rPr>
              <w:t>农产品电商运营职业技能等级</w:t>
            </w:r>
          </w:p>
        </w:tc>
      </w:tr>
    </w:tbl>
    <w:p>
      <w:pPr>
        <w:spacing w:line="520" w:lineRule="exact"/>
        <w:ind w:firstLine="640"/>
        <w:outlineLvl w:val="9"/>
        <w:rPr>
          <w:rFonts w:eastAsia="仿宋"/>
          <w:color w:val="auto"/>
          <w:szCs w:val="32"/>
        </w:rPr>
      </w:pPr>
      <w:r>
        <w:rPr>
          <w:rFonts w:hint="eastAsia" w:ascii="仿宋" w:hAnsi="仿宋" w:eastAsia="仿宋"/>
          <w:b/>
          <w:bCs/>
          <w:color w:val="auto"/>
          <w:szCs w:val="32"/>
        </w:rPr>
        <w:t>初始岗位：</w:t>
      </w:r>
      <w:r>
        <w:rPr>
          <w:rFonts w:hint="eastAsia" w:ascii="仿宋" w:hAnsi="仿宋" w:eastAsia="仿宋"/>
          <w:b w:val="0"/>
          <w:bCs w:val="0"/>
          <w:color w:val="auto"/>
          <w:szCs w:val="32"/>
        </w:rPr>
        <w:t>电子商务专员、网店客服、电商文案、网店美工</w:t>
      </w:r>
      <w:r>
        <w:rPr>
          <w:rFonts w:hint="eastAsia" w:ascii="仿宋" w:hAnsi="仿宋" w:eastAsia="仿宋"/>
          <w:b w:val="0"/>
          <w:bCs w:val="0"/>
          <w:color w:val="auto"/>
          <w:szCs w:val="32"/>
          <w:lang w:eastAsia="zh-CN"/>
        </w:rPr>
        <w:t>、</w:t>
      </w:r>
      <w:r>
        <w:rPr>
          <w:rFonts w:hint="eastAsia" w:ascii="仿宋" w:hAnsi="仿宋" w:eastAsia="仿宋"/>
          <w:b w:val="0"/>
          <w:bCs w:val="0"/>
          <w:color w:val="auto"/>
          <w:szCs w:val="32"/>
          <w:lang w:val="en-US" w:eastAsia="zh-CN"/>
        </w:rPr>
        <w:t>直播助理、运营助理</w:t>
      </w:r>
      <w:r>
        <w:rPr>
          <w:rFonts w:hint="eastAsia" w:ascii="仿宋" w:hAnsi="仿宋" w:eastAsia="仿宋"/>
          <w:b w:val="0"/>
          <w:bCs w:val="0"/>
          <w:color w:val="auto"/>
          <w:szCs w:val="32"/>
        </w:rPr>
        <w:t>等。</w:t>
      </w:r>
    </w:p>
    <w:p>
      <w:pPr>
        <w:spacing w:line="520" w:lineRule="exact"/>
        <w:ind w:firstLine="640"/>
        <w:outlineLvl w:val="9"/>
        <w:rPr>
          <w:rFonts w:hint="eastAsia" w:ascii="仿宋" w:hAnsi="仿宋" w:eastAsia="仿宋"/>
          <w:b w:val="0"/>
          <w:bCs w:val="0"/>
          <w:color w:val="auto"/>
          <w:szCs w:val="32"/>
        </w:rPr>
      </w:pPr>
      <w:r>
        <w:rPr>
          <w:rFonts w:hint="eastAsia" w:ascii="仿宋" w:hAnsi="仿宋" w:eastAsia="仿宋"/>
          <w:b/>
          <w:bCs/>
          <w:color w:val="auto"/>
          <w:szCs w:val="32"/>
        </w:rPr>
        <w:t>发展岗位：</w:t>
      </w:r>
      <w:r>
        <w:rPr>
          <w:rFonts w:hint="eastAsia" w:ascii="仿宋" w:hAnsi="仿宋" w:eastAsia="仿宋"/>
          <w:b w:val="0"/>
          <w:bCs w:val="0"/>
          <w:color w:val="auto"/>
          <w:szCs w:val="32"/>
        </w:rPr>
        <w:t>电子商务师、电商活动策划经理、网店推广、网店店主</w:t>
      </w:r>
      <w:r>
        <w:rPr>
          <w:rFonts w:hint="eastAsia" w:ascii="仿宋" w:hAnsi="仿宋" w:eastAsia="仿宋"/>
          <w:b w:val="0"/>
          <w:bCs w:val="0"/>
          <w:color w:val="auto"/>
          <w:szCs w:val="32"/>
          <w:lang w:eastAsia="zh-CN"/>
        </w:rPr>
        <w:t>、</w:t>
      </w:r>
      <w:r>
        <w:rPr>
          <w:rFonts w:hint="eastAsia" w:ascii="仿宋" w:hAnsi="仿宋" w:eastAsia="仿宋"/>
          <w:b w:val="0"/>
          <w:bCs w:val="0"/>
          <w:color w:val="auto"/>
          <w:szCs w:val="32"/>
          <w:lang w:val="en-US" w:eastAsia="zh-CN"/>
        </w:rPr>
        <w:t>直播策划专员、电商主播</w:t>
      </w:r>
      <w:r>
        <w:rPr>
          <w:rFonts w:hint="eastAsia" w:ascii="仿宋" w:hAnsi="仿宋" w:eastAsia="仿宋"/>
          <w:b w:val="0"/>
          <w:bCs w:val="0"/>
          <w:color w:val="auto"/>
          <w:szCs w:val="32"/>
        </w:rPr>
        <w:t>等。</w:t>
      </w:r>
    </w:p>
    <w:p>
      <w:pPr>
        <w:rPr>
          <w:color w:val="auto"/>
        </w:rPr>
      </w:pPr>
      <w:r>
        <w:rPr>
          <w:rFonts w:hint="eastAsia" w:ascii="仿宋" w:hAnsi="仿宋" w:eastAsia="仿宋" w:cs="Times New Roman"/>
          <w:b/>
          <w:bCs/>
          <w:color w:val="auto"/>
          <w:kern w:val="44"/>
          <w:sz w:val="32"/>
          <w:szCs w:val="32"/>
          <w:lang w:val="en-US" w:eastAsia="zh-CN" w:bidi="ar-SA"/>
        </w:rPr>
        <w:t>接续高职专业：</w:t>
      </w:r>
      <w:r>
        <w:rPr>
          <w:rFonts w:hint="eastAsia"/>
          <w:color w:val="auto"/>
          <w:lang w:val="en-US" w:eastAsia="zh-CN"/>
        </w:rPr>
        <w:t>电子商务、移动商务、网络营销、商务数据分析与应用等。</w:t>
      </w:r>
    </w:p>
    <w:p>
      <w:pPr>
        <w:rPr>
          <w:rFonts w:hint="eastAsia"/>
          <w:color w:val="auto"/>
          <w:lang w:val="en-US" w:eastAsia="zh-CN"/>
        </w:rPr>
      </w:pPr>
      <w:r>
        <w:rPr>
          <w:rFonts w:hint="eastAsia" w:ascii="仿宋" w:hAnsi="仿宋" w:eastAsia="仿宋" w:cs="Times New Roman"/>
          <w:b/>
          <w:bCs/>
          <w:color w:val="auto"/>
          <w:kern w:val="44"/>
          <w:sz w:val="32"/>
          <w:szCs w:val="32"/>
          <w:lang w:val="en-US" w:eastAsia="zh-CN" w:bidi="ar-SA"/>
        </w:rPr>
        <w:t>接续本科专业：</w:t>
      </w:r>
      <w:r>
        <w:rPr>
          <w:rFonts w:hint="eastAsia"/>
          <w:color w:val="auto"/>
          <w:lang w:val="en-US" w:eastAsia="zh-CN"/>
        </w:rPr>
        <w:t>电子商务、市场营销、网络与新媒体等。</w:t>
      </w:r>
    </w:p>
    <w:p>
      <w:pPr>
        <w:pStyle w:val="2"/>
        <w:keepNext/>
        <w:keepLines/>
        <w:pageBreakBefore w:val="0"/>
        <w:widowControl w:val="0"/>
        <w:kinsoku/>
        <w:wordWrap/>
        <w:overflowPunct/>
        <w:topLinePunct w:val="0"/>
        <w:autoSpaceDE/>
        <w:autoSpaceDN/>
        <w:bidi w:val="0"/>
        <w:adjustRightInd/>
        <w:snapToGrid/>
        <w:spacing w:before="156" w:beforeLines="50" w:line="240" w:lineRule="atLeast"/>
        <w:ind w:firstLine="707" w:firstLineChars="220"/>
        <w:textAlignment w:val="auto"/>
        <w:rPr>
          <w:rFonts w:hint="eastAsia" w:ascii="Calibri" w:hAnsi="Calibri"/>
          <w:color w:val="auto"/>
        </w:rPr>
      </w:pPr>
      <w:r>
        <w:rPr>
          <w:rFonts w:hint="eastAsia" w:ascii="Calibri" w:hAnsi="Calibri"/>
          <w:color w:val="auto"/>
        </w:rPr>
        <w:t>五、培养目标与培养规格</w:t>
      </w:r>
    </w:p>
    <w:p>
      <w:pPr>
        <w:pStyle w:val="2"/>
        <w:ind w:firstLine="643"/>
        <w:rPr>
          <w:rFonts w:hint="eastAsia" w:ascii="楷体" w:hAnsi="楷体" w:eastAsia="楷体" w:cs="楷体"/>
          <w:color w:val="auto"/>
        </w:rPr>
      </w:pPr>
      <w:r>
        <w:rPr>
          <w:rFonts w:hint="eastAsia" w:ascii="楷体" w:hAnsi="楷体" w:eastAsia="楷体" w:cs="楷体"/>
          <w:color w:val="auto"/>
        </w:rPr>
        <w:t>（一）培养目标</w:t>
      </w:r>
    </w:p>
    <w:p>
      <w:pPr>
        <w:ind w:firstLine="640"/>
        <w:rPr>
          <w:rFonts w:ascii="仿宋" w:cs="仿宋"/>
          <w:color w:val="auto"/>
        </w:rPr>
      </w:pPr>
      <w:r>
        <w:rPr>
          <w:rFonts w:hint="eastAsia" w:ascii="仿宋" w:hAnsi="仿宋" w:cs="仿宋"/>
          <w:color w:val="auto"/>
        </w:rPr>
        <w:t>本专业培养“以就业为导向，以学生为主体，以全面促进综合能力培养为中心”，培养适合我国社会主义现代化建设的实际需求，适应广西地区经济特色发展的、精准对接电子商务产业发展的中职电子商务立体型人才。培养具有良好的职业道德、敬业精神、团队精神、创新意识和诚信品质，掌握一定的电子商务应用知识，具备较强的计算机应用知识和应用能力。通过专业课程的学习，能够适应互联网经济发展的要求，掌握本专业的基本理论基础知识和基本技能，能熟练运用电子商务技术，有一定实践动手能力，能在与电子商务有关的网站、企业从事网络营销工作、新媒体运营、网店管理与运营、网页设计与制作等工作。</w:t>
      </w:r>
    </w:p>
    <w:p>
      <w:pPr>
        <w:pStyle w:val="2"/>
        <w:ind w:firstLine="643"/>
        <w:rPr>
          <w:rFonts w:hint="eastAsia" w:ascii="楷体" w:hAnsi="楷体" w:eastAsia="楷体" w:cs="楷体"/>
          <w:color w:val="auto"/>
        </w:rPr>
      </w:pPr>
      <w:r>
        <w:rPr>
          <w:rFonts w:hint="eastAsia" w:ascii="楷体" w:hAnsi="楷体" w:eastAsia="楷体" w:cs="楷体"/>
          <w:color w:val="auto"/>
        </w:rPr>
        <w:t>（二）培养规格</w:t>
      </w:r>
    </w:p>
    <w:p>
      <w:pPr>
        <w:ind w:firstLine="640"/>
        <w:rPr>
          <w:rFonts w:ascii="宋体" w:hAnsi="宋体" w:eastAsia="宋体" w:cs="宋体"/>
          <w:color w:val="auto"/>
        </w:rPr>
      </w:pPr>
      <w:r>
        <w:rPr>
          <w:rFonts w:hint="eastAsia" w:ascii="仿宋" w:hAnsi="仿宋" w:cs="仿宋"/>
          <w:color w:val="auto"/>
        </w:rPr>
        <w:t>构建“职业能力为本，教、学、做一体化”人才培养模式，由素质、知识、能力三个方面的要求组成。</w:t>
      </w:r>
    </w:p>
    <w:p>
      <w:pPr>
        <w:pStyle w:val="3"/>
        <w:ind w:firstLine="643"/>
        <w:rPr>
          <w:rFonts w:hint="eastAsia" w:ascii="仿宋" w:hAnsi="仿宋" w:eastAsia="仿宋" w:cs="仿宋"/>
          <w:color w:val="auto"/>
        </w:rPr>
      </w:pPr>
      <w:r>
        <w:rPr>
          <w:rFonts w:hint="eastAsia" w:ascii="仿宋" w:hAnsi="仿宋" w:eastAsia="仿宋" w:cs="仿宋"/>
          <w:color w:val="auto"/>
        </w:rPr>
        <w:t>1.素质</w:t>
      </w:r>
    </w:p>
    <w:p>
      <w:pPr>
        <w:pStyle w:val="3"/>
        <w:ind w:firstLine="643"/>
        <w:rPr>
          <w:rFonts w:hint="eastAsia" w:ascii="仿宋" w:hAnsi="仿宋" w:eastAsia="仿宋" w:cs="仿宋"/>
          <w:color w:val="auto"/>
        </w:rPr>
      </w:pPr>
      <w:r>
        <w:rPr>
          <w:rFonts w:hint="eastAsia" w:ascii="仿宋" w:hAnsi="仿宋" w:eastAsia="仿宋" w:cs="仿宋"/>
          <w:color w:val="auto"/>
        </w:rPr>
        <w:t>（1）道德素质</w:t>
      </w:r>
    </w:p>
    <w:p>
      <w:pPr>
        <w:ind w:firstLine="640"/>
        <w:rPr>
          <w:rFonts w:ascii="仿宋" w:cs="仿宋"/>
          <w:color w:val="auto"/>
        </w:rPr>
      </w:pPr>
      <w:r>
        <w:rPr>
          <w:rFonts w:hint="eastAsia" w:ascii="仿宋" w:hAnsi="仿宋" w:cs="仿宋"/>
          <w:color w:val="auto"/>
        </w:rPr>
        <w:t>具有正确的世界观、人生观、价值观。坚决拥护中国共产党领导，树立中国特色社会主义共同理想，践行社会主义核心价值观，具有深厚的爱国情感、国家认同感、中华民族自豪感；崇尚宪法、遵守法律、遵规守纪；具有社会责任感和参与意识。</w:t>
      </w:r>
    </w:p>
    <w:p>
      <w:pPr>
        <w:ind w:firstLine="640"/>
        <w:rPr>
          <w:rFonts w:ascii="仿宋" w:cs="仿宋"/>
          <w:color w:val="auto"/>
        </w:rPr>
      </w:pPr>
      <w:r>
        <w:rPr>
          <w:rFonts w:hint="eastAsia" w:ascii="仿宋" w:hAnsi="仿宋" w:cs="仿宋"/>
          <w:color w:val="auto"/>
        </w:rPr>
        <w:t>具有良好的职业道德。崇德向善、诚实守信、爱岗敬业，具有精益求精的工匠精神；尊重劳动、热爱劳动，具有较强的实践能力；具有质量意识、绿色环保意识、安全意识、信息素养、创新精神；具有较强的集体意识和团队合作精神，能够进行有效的人际沟通和协作，与社会、自然和谐共处；具有职业生涯规划意识。</w:t>
      </w:r>
    </w:p>
    <w:p>
      <w:pPr>
        <w:ind w:firstLine="640"/>
        <w:rPr>
          <w:rFonts w:ascii="仿宋" w:hAnsi="仿宋" w:cs="仿宋"/>
          <w:color w:val="auto"/>
        </w:rPr>
      </w:pPr>
      <w:r>
        <w:rPr>
          <w:rFonts w:hint="eastAsia" w:ascii="仿宋" w:hAnsi="仿宋" w:cs="仿宋"/>
          <w:color w:val="auto"/>
        </w:rPr>
        <w:t>具有良好的身心素质和人文素养。具有健康的体魄和心理、健全的人格，能够掌握基本运动知识和一两项运动技能；具有感受美、表现美、鉴赏美、创造美的能力，具有一定的审美和人文素养，能够形成一两项艺术特长或爱好；掌握一定的学习方法，具有良好的生活习惯、行为习惯和自我管理能力。</w:t>
      </w:r>
    </w:p>
    <w:p>
      <w:pPr>
        <w:pStyle w:val="3"/>
        <w:ind w:firstLine="643"/>
        <w:rPr>
          <w:rFonts w:hint="eastAsia" w:ascii="仿宋" w:hAnsi="仿宋" w:eastAsia="仿宋" w:cs="仿宋"/>
          <w:color w:val="auto"/>
        </w:rPr>
      </w:pPr>
      <w:r>
        <w:rPr>
          <w:rFonts w:hint="eastAsia" w:ascii="仿宋" w:hAnsi="仿宋" w:eastAsia="仿宋" w:cs="仿宋"/>
          <w:color w:val="auto"/>
        </w:rPr>
        <w:t>（2）职业素养</w:t>
      </w:r>
    </w:p>
    <w:p>
      <w:pPr>
        <w:ind w:firstLine="640"/>
        <w:rPr>
          <w:rFonts w:ascii="仿宋" w:hAnsi="仿宋" w:cs="仿宋"/>
          <w:color w:val="auto"/>
        </w:rPr>
      </w:pPr>
      <w:r>
        <w:rPr>
          <w:rFonts w:hint="eastAsia" w:ascii="仿宋" w:hAnsi="仿宋" w:cs="仿宋"/>
          <w:color w:val="auto"/>
        </w:rPr>
        <w:t>具备网络交易安全意识，能防范个人信息泄漏，辨别网络欺诈，用正规渠道实施网络买卖与支付。</w:t>
      </w:r>
    </w:p>
    <w:p>
      <w:pPr>
        <w:ind w:firstLine="640"/>
        <w:rPr>
          <w:rFonts w:ascii="仿宋" w:hAnsi="仿宋" w:cs="仿宋"/>
          <w:color w:val="auto"/>
        </w:rPr>
      </w:pPr>
      <w:r>
        <w:rPr>
          <w:rFonts w:hint="eastAsia" w:ascii="仿宋" w:hAnsi="仿宋" w:cs="仿宋"/>
          <w:color w:val="auto"/>
        </w:rPr>
        <w:t>具有执行能力、应变能力、团队协作与承压能力。</w:t>
      </w:r>
    </w:p>
    <w:p>
      <w:pPr>
        <w:ind w:firstLine="640"/>
        <w:rPr>
          <w:rFonts w:ascii="仿宋" w:hAnsi="仿宋" w:cs="仿宋"/>
          <w:color w:val="auto"/>
        </w:rPr>
      </w:pPr>
      <w:r>
        <w:rPr>
          <w:rFonts w:hint="eastAsia" w:ascii="仿宋" w:hAnsi="仿宋" w:cs="仿宋"/>
          <w:color w:val="auto"/>
        </w:rPr>
        <w:t>具有良好的语言表达和沟通能力。</w:t>
      </w:r>
    </w:p>
    <w:p>
      <w:pPr>
        <w:ind w:firstLine="640"/>
        <w:rPr>
          <w:rFonts w:ascii="仿宋" w:hAnsi="仿宋" w:cs="仿宋"/>
          <w:color w:val="auto"/>
        </w:rPr>
      </w:pPr>
      <w:r>
        <w:rPr>
          <w:rFonts w:hint="eastAsia" w:ascii="仿宋" w:hAnsi="仿宋" w:cs="仿宋"/>
          <w:color w:val="auto"/>
        </w:rPr>
        <w:t>具有较强的逻辑思维能力并能独立处理问题。</w:t>
      </w:r>
    </w:p>
    <w:p>
      <w:pPr>
        <w:ind w:firstLine="640"/>
        <w:rPr>
          <w:rFonts w:ascii="仿宋" w:hAnsi="仿宋" w:cs="仿宋"/>
          <w:color w:val="auto"/>
        </w:rPr>
      </w:pPr>
      <w:r>
        <w:rPr>
          <w:rFonts w:hint="eastAsia" w:ascii="仿宋" w:hAnsi="仿宋" w:cs="仿宋"/>
          <w:color w:val="auto"/>
        </w:rPr>
        <w:t>具有一定的创新能力。</w:t>
      </w:r>
    </w:p>
    <w:p>
      <w:pPr>
        <w:pStyle w:val="3"/>
        <w:ind w:firstLine="643"/>
        <w:rPr>
          <w:rFonts w:hint="eastAsia" w:ascii="仿宋" w:hAnsi="仿宋" w:eastAsia="仿宋" w:cs="仿宋"/>
          <w:color w:val="auto"/>
        </w:rPr>
      </w:pPr>
      <w:r>
        <w:rPr>
          <w:rFonts w:hint="eastAsia" w:ascii="仿宋" w:hAnsi="仿宋" w:eastAsia="仿宋" w:cs="仿宋"/>
          <w:color w:val="auto"/>
        </w:rPr>
        <w:t>2.知识</w:t>
      </w:r>
    </w:p>
    <w:p>
      <w:pPr>
        <w:ind w:firstLine="640"/>
        <w:rPr>
          <w:rFonts w:ascii="仿宋" w:hAnsi="仿宋" w:cs="仿宋"/>
          <w:color w:val="auto"/>
        </w:rPr>
      </w:pPr>
      <w:r>
        <w:rPr>
          <w:rFonts w:hint="eastAsia" w:ascii="仿宋" w:hAnsi="仿宋" w:cs="仿宋"/>
          <w:color w:val="auto"/>
        </w:rPr>
        <w:t>了解电子商务</w:t>
      </w:r>
      <w:r>
        <w:rPr>
          <w:rFonts w:hint="eastAsia" w:ascii="仿宋" w:hAnsi="仿宋" w:cs="仿宋"/>
          <w:color w:val="auto"/>
          <w:lang w:eastAsia="zh-CN"/>
        </w:rPr>
        <w:t>基础</w:t>
      </w:r>
      <w:r>
        <w:rPr>
          <w:rFonts w:hint="eastAsia" w:ascii="仿宋" w:hAnsi="仿宋" w:cs="仿宋"/>
          <w:color w:val="auto"/>
        </w:rPr>
        <w:t>、营销基础、跨境电子商务基础、电子商务法律、营销</w:t>
      </w:r>
      <w:r>
        <w:rPr>
          <w:rFonts w:hint="eastAsia" w:ascii="仿宋" w:hAnsi="仿宋" w:cs="仿宋"/>
          <w:color w:val="auto"/>
          <w:lang w:eastAsia="zh-CN"/>
        </w:rPr>
        <w:t>实务、</w:t>
      </w:r>
      <w:r>
        <w:rPr>
          <w:rFonts w:hint="eastAsia" w:ascii="仿宋" w:hAnsi="仿宋" w:cs="仿宋"/>
          <w:color w:val="auto"/>
        </w:rPr>
        <w:t>商务礼仪常识</w:t>
      </w:r>
      <w:r>
        <w:rPr>
          <w:rFonts w:hint="eastAsia" w:ascii="仿宋" w:hAnsi="仿宋" w:cs="仿宋"/>
          <w:color w:val="auto"/>
          <w:lang w:eastAsia="zh-CN"/>
        </w:rPr>
        <w:t>等</w:t>
      </w:r>
      <w:r>
        <w:rPr>
          <w:rFonts w:hint="eastAsia" w:ascii="仿宋" w:hAnsi="仿宋" w:cs="仿宋"/>
          <w:color w:val="auto"/>
        </w:rPr>
        <w:t>基础知识；</w:t>
      </w:r>
    </w:p>
    <w:p>
      <w:pPr>
        <w:ind w:firstLine="640"/>
        <w:rPr>
          <w:rFonts w:ascii="仿宋" w:hAnsi="仿宋" w:cs="仿宋"/>
          <w:color w:val="auto"/>
        </w:rPr>
      </w:pPr>
      <w:r>
        <w:rPr>
          <w:rFonts w:hint="eastAsia" w:ascii="仿宋" w:hAnsi="仿宋" w:cs="仿宋"/>
          <w:color w:val="auto"/>
          <w:lang w:eastAsia="zh-CN"/>
        </w:rPr>
        <w:t>熟悉</w:t>
      </w:r>
      <w:r>
        <w:rPr>
          <w:rFonts w:hint="eastAsia" w:ascii="仿宋" w:hAnsi="仿宋" w:cs="仿宋"/>
          <w:color w:val="auto"/>
        </w:rPr>
        <w:t>计算机应用，</w:t>
      </w:r>
      <w:r>
        <w:rPr>
          <w:rFonts w:hint="eastAsia" w:ascii="仿宋" w:hAnsi="仿宋" w:cs="仿宋"/>
          <w:color w:val="auto"/>
          <w:lang w:eastAsia="zh-CN"/>
        </w:rPr>
        <w:t>电子商务数据分析、网店运营推广、电子商务直播、</w:t>
      </w:r>
      <w:r>
        <w:rPr>
          <w:rFonts w:hint="eastAsia" w:ascii="仿宋" w:hAnsi="仿宋" w:cs="仿宋"/>
          <w:color w:val="auto"/>
        </w:rPr>
        <w:t>电子商务运作业务各环节程序；</w:t>
      </w:r>
    </w:p>
    <w:p>
      <w:pPr>
        <w:ind w:firstLine="640"/>
        <w:rPr>
          <w:rFonts w:hint="eastAsia" w:ascii="仿宋" w:hAnsi="仿宋" w:eastAsia="仿宋" w:cs="仿宋"/>
          <w:color w:val="auto"/>
          <w:lang w:eastAsia="zh-CN"/>
        </w:rPr>
      </w:pPr>
      <w:r>
        <w:rPr>
          <w:rFonts w:hint="eastAsia" w:ascii="仿宋" w:hAnsi="仿宋" w:cs="仿宋"/>
          <w:color w:val="auto"/>
        </w:rPr>
        <w:t>掌握电子商务日常工作中客户服务相关专业知识</w:t>
      </w:r>
      <w:r>
        <w:rPr>
          <w:rFonts w:hint="eastAsia" w:ascii="仿宋" w:hAnsi="仿宋" w:cs="仿宋"/>
          <w:color w:val="auto"/>
          <w:lang w:eastAsia="zh-CN"/>
        </w:rPr>
        <w:t>。</w:t>
      </w:r>
    </w:p>
    <w:p>
      <w:pPr>
        <w:pStyle w:val="3"/>
        <w:ind w:firstLine="643"/>
        <w:rPr>
          <w:rFonts w:hint="eastAsia" w:ascii="仿宋" w:hAnsi="仿宋" w:eastAsia="仿宋" w:cs="仿宋"/>
          <w:color w:val="auto"/>
        </w:rPr>
      </w:pPr>
      <w:r>
        <w:rPr>
          <w:rFonts w:hint="eastAsia" w:ascii="仿宋" w:hAnsi="仿宋" w:eastAsia="仿宋" w:cs="仿宋"/>
          <w:color w:val="auto"/>
        </w:rPr>
        <w:t>3.能力</w:t>
      </w:r>
    </w:p>
    <w:p>
      <w:pPr>
        <w:ind w:firstLine="640"/>
        <w:rPr>
          <w:rFonts w:ascii="仿宋" w:hAnsi="仿宋" w:cs="仿宋"/>
          <w:color w:val="auto"/>
        </w:rPr>
      </w:pPr>
      <w:r>
        <w:rPr>
          <w:rFonts w:hint="eastAsia" w:ascii="仿宋" w:hAnsi="仿宋" w:cs="仿宋"/>
          <w:color w:val="auto"/>
        </w:rPr>
        <w:t>能使用计算机常用工具软件（包括网络工具软件）处理日常工作文档，满足工作需要；</w:t>
      </w:r>
    </w:p>
    <w:p>
      <w:pPr>
        <w:ind w:firstLine="640"/>
        <w:rPr>
          <w:rFonts w:ascii="仿宋" w:hAnsi="仿宋" w:cs="仿宋"/>
          <w:color w:val="auto"/>
        </w:rPr>
      </w:pPr>
      <w:r>
        <w:rPr>
          <w:rFonts w:hint="eastAsia" w:ascii="仿宋" w:hAnsi="仿宋" w:cs="仿宋"/>
          <w:color w:val="auto"/>
        </w:rPr>
        <w:t>能熟练使用互联网络交易平台处理B2B、B2C、C2C等商务活动交易；熟练文献检索、资料咨询、收集的基本方法；能完成信息搜集、原创、编辑、发布等信息处理工作；</w:t>
      </w:r>
    </w:p>
    <w:p>
      <w:pPr>
        <w:ind w:firstLine="640"/>
        <w:rPr>
          <w:rFonts w:hint="eastAsia" w:ascii="仿宋" w:hAnsi="仿宋" w:eastAsia="仿宋" w:cs="仿宋"/>
          <w:color w:val="auto"/>
          <w:lang w:eastAsia="zh-CN"/>
        </w:rPr>
      </w:pPr>
      <w:r>
        <w:rPr>
          <w:rFonts w:hint="eastAsia" w:ascii="仿宋" w:hAnsi="仿宋" w:cs="仿宋"/>
          <w:color w:val="auto"/>
        </w:rPr>
        <w:t>能根据需求，操作站内和站外推广媒介，达到网络营销目的</w:t>
      </w:r>
      <w:r>
        <w:rPr>
          <w:rFonts w:hint="eastAsia" w:ascii="仿宋" w:hAnsi="仿宋" w:cs="仿宋"/>
          <w:color w:val="auto"/>
          <w:lang w:eastAsia="zh-CN"/>
        </w:rPr>
        <w:t>，</w:t>
      </w:r>
      <w:r>
        <w:rPr>
          <w:rFonts w:hint="eastAsia" w:ascii="仿宋" w:hAnsi="仿宋" w:cs="仿宋"/>
          <w:color w:val="auto"/>
        </w:rPr>
        <w:t>掌握网络营销相关知识，能根据需求，</w:t>
      </w:r>
      <w:r>
        <w:rPr>
          <w:rFonts w:hint="eastAsia" w:ascii="仿宋" w:hAnsi="仿宋" w:cs="仿宋"/>
          <w:color w:val="auto"/>
          <w:lang w:val="en-US" w:eastAsia="zh-CN"/>
        </w:rPr>
        <w:t>完成商品上传与维护、营销活动设置、日常订单管理、首页设计与制作、详情页设计与制作、自定义页设计与制作、</w:t>
      </w:r>
      <w:r>
        <w:rPr>
          <w:rFonts w:hint="eastAsia" w:ascii="仿宋" w:hAnsi="仿宋" w:cs="仿宋"/>
          <w:color w:val="auto"/>
        </w:rPr>
        <w:t>设计网站风格、网页布局、网站色调等，并使用设计类工具软件呈现设计效果图</w:t>
      </w:r>
      <w:r>
        <w:rPr>
          <w:rFonts w:hint="eastAsia" w:ascii="仿宋" w:hAnsi="仿宋" w:cs="仿宋"/>
          <w:color w:val="auto"/>
          <w:lang w:eastAsia="zh-CN"/>
        </w:rPr>
        <w:t>、</w:t>
      </w:r>
      <w:r>
        <w:rPr>
          <w:rFonts w:hint="eastAsia" w:ascii="仿宋" w:hAnsi="仿宋" w:cs="仿宋"/>
          <w:color w:val="auto"/>
          <w:lang w:val="en-US" w:eastAsia="zh-CN"/>
        </w:rPr>
        <w:t>客户问题处理、交易促成以及客户关系维护等工作任务，具备网店开设与装修、客户服务能力</w:t>
      </w:r>
      <w:r>
        <w:rPr>
          <w:rFonts w:hint="eastAsia" w:ascii="仿宋" w:hAnsi="仿宋" w:cs="仿宋"/>
          <w:color w:val="auto"/>
          <w:lang w:eastAsia="zh-CN"/>
        </w:rPr>
        <w:t>；</w:t>
      </w:r>
    </w:p>
    <w:p>
      <w:pPr>
        <w:ind w:firstLine="640"/>
        <w:rPr>
          <w:rFonts w:hint="eastAsia" w:ascii="仿宋" w:hAnsi="仿宋" w:cs="仿宋"/>
          <w:color w:val="auto"/>
          <w:lang w:val="en-US" w:eastAsia="zh-CN"/>
        </w:rPr>
      </w:pPr>
      <w:r>
        <w:rPr>
          <w:rFonts w:hint="eastAsia" w:ascii="仿宋" w:hAnsi="仿宋" w:cs="仿宋"/>
          <w:color w:val="auto"/>
          <w:lang w:val="en-US" w:eastAsia="zh-CN"/>
        </w:rPr>
        <w:t xml:space="preserve">能根据业务需求，掌握基础数据采集、数据处理与描述性分析、基础数据监控与报表制作。 </w:t>
      </w:r>
    </w:p>
    <w:p>
      <w:pPr>
        <w:ind w:firstLine="640"/>
        <w:rPr>
          <w:rFonts w:hint="eastAsia" w:ascii="仿宋" w:hAnsi="仿宋" w:cs="仿宋"/>
          <w:color w:val="auto"/>
          <w:lang w:val="en-US" w:eastAsia="zh-CN"/>
        </w:rPr>
      </w:pPr>
      <w:r>
        <w:rPr>
          <w:rFonts w:hint="eastAsia" w:ascii="仿宋" w:hAnsi="仿宋" w:cs="仿宋"/>
          <w:color w:val="auto"/>
          <w:lang w:val="en-US" w:eastAsia="zh-CN"/>
        </w:rPr>
        <w:t>能根据业务需求，掌握直播间搭建与运维、直播执行、直播后运维与数据整理等工作，具备直播平台操作、直播执行和初步的数据分析能力，</w:t>
      </w:r>
      <w:r>
        <w:rPr>
          <w:rFonts w:hint="eastAsia" w:ascii="仿宋" w:hAnsi="仿宋" w:cs="仿宋"/>
          <w:color w:val="auto"/>
        </w:rPr>
        <w:t>能处理电子商务平台的交易投诉，准确地执行平台营销的各种工作，能按照服务规范与流程，服务客户，提出顾客接受的解决方案。</w:t>
      </w:r>
    </w:p>
    <w:p>
      <w:pPr>
        <w:ind w:firstLine="640"/>
        <w:rPr>
          <w:rFonts w:ascii="仿宋" w:hAnsi="仿宋" w:cs="仿宋"/>
          <w:color w:val="auto"/>
        </w:rPr>
      </w:pPr>
      <w:r>
        <w:rPr>
          <w:rFonts w:hint="eastAsia" w:ascii="仿宋" w:hAnsi="仿宋" w:cs="仿宋"/>
          <w:color w:val="auto"/>
        </w:rPr>
        <w:t>掌握电子商务日常工作中客户服务相关专业知识，能按照服务规范与流程，服务客户，提出顾客接受的解决方案。</w:t>
      </w:r>
    </w:p>
    <w:p>
      <w:pPr>
        <w:pStyle w:val="2"/>
        <w:keepNext/>
        <w:keepLines/>
        <w:pageBreakBefore w:val="0"/>
        <w:widowControl w:val="0"/>
        <w:kinsoku/>
        <w:wordWrap/>
        <w:overflowPunct/>
        <w:topLinePunct w:val="0"/>
        <w:autoSpaceDE/>
        <w:autoSpaceDN/>
        <w:bidi w:val="0"/>
        <w:adjustRightInd/>
        <w:snapToGrid/>
        <w:spacing w:before="156" w:beforeLines="50" w:line="240" w:lineRule="atLeast"/>
        <w:ind w:firstLine="707" w:firstLineChars="220"/>
        <w:textAlignment w:val="auto"/>
        <w:rPr>
          <w:color w:val="auto"/>
        </w:rPr>
      </w:pPr>
      <w:r>
        <w:rPr>
          <w:rFonts w:hint="eastAsia"/>
          <w:color w:val="auto"/>
        </w:rPr>
        <w:t>六、课程设置</w:t>
      </w:r>
    </w:p>
    <w:p>
      <w:pPr>
        <w:pStyle w:val="2"/>
        <w:ind w:firstLine="643"/>
        <w:rPr>
          <w:rFonts w:hint="eastAsia" w:ascii="楷体" w:hAnsi="楷体" w:eastAsia="楷体" w:cs="楷体"/>
          <w:color w:val="auto"/>
        </w:rPr>
      </w:pPr>
      <w:r>
        <w:rPr>
          <w:rFonts w:hint="eastAsia" w:ascii="楷体" w:hAnsi="楷体" w:eastAsia="楷体" w:cs="楷体"/>
          <w:color w:val="auto"/>
        </w:rPr>
        <w:t>（一）公共基础课程</w:t>
      </w:r>
    </w:p>
    <w:tbl>
      <w:tblPr>
        <w:tblStyle w:val="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2"/>
        <w:gridCol w:w="1241"/>
        <w:gridCol w:w="5885"/>
        <w:gridCol w:w="9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blHeader/>
          <w:jc w:val="center"/>
        </w:trPr>
        <w:tc>
          <w:tcPr>
            <w:tcW w:w="1032" w:type="dxa"/>
            <w:tcBorders>
              <w:top w:val="single" w:color="auto" w:sz="4" w:space="0"/>
              <w:left w:val="single" w:color="auto" w:sz="4" w:space="0"/>
              <w:bottom w:val="single" w:color="auto" w:sz="4" w:space="0"/>
              <w:right w:val="single" w:color="auto" w:sz="4" w:space="0"/>
            </w:tcBorders>
            <w:vAlign w:val="center"/>
          </w:tcPr>
          <w:p>
            <w:pPr>
              <w:snapToGrid w:val="0"/>
              <w:ind w:left="0" w:leftChars="0" w:firstLine="0" w:firstLineChars="0"/>
              <w:jc w:val="center"/>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序号</w:t>
            </w:r>
          </w:p>
        </w:tc>
        <w:tc>
          <w:tcPr>
            <w:tcW w:w="1241" w:type="dxa"/>
            <w:tcBorders>
              <w:top w:val="single" w:color="auto" w:sz="4" w:space="0"/>
              <w:left w:val="single" w:color="auto" w:sz="4" w:space="0"/>
              <w:bottom w:val="single" w:color="auto" w:sz="4" w:space="0"/>
              <w:right w:val="single" w:color="auto" w:sz="4" w:space="0"/>
            </w:tcBorders>
            <w:vAlign w:val="center"/>
          </w:tcPr>
          <w:p>
            <w:pPr>
              <w:snapToGrid w:val="0"/>
              <w:ind w:left="0" w:leftChars="0" w:firstLine="0" w:firstLineChars="0"/>
              <w:jc w:val="center"/>
              <w:rPr>
                <w:rFonts w:hint="eastAsia"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课程</w:t>
            </w:r>
          </w:p>
          <w:p>
            <w:pPr>
              <w:snapToGrid w:val="0"/>
              <w:ind w:left="0" w:leftChars="0" w:firstLine="0" w:firstLineChars="0"/>
              <w:jc w:val="center"/>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名称</w:t>
            </w:r>
          </w:p>
        </w:tc>
        <w:tc>
          <w:tcPr>
            <w:tcW w:w="5885" w:type="dxa"/>
            <w:tcBorders>
              <w:top w:val="single" w:color="auto" w:sz="4" w:space="0"/>
              <w:left w:val="single" w:color="auto" w:sz="4" w:space="0"/>
              <w:bottom w:val="single" w:color="auto" w:sz="4" w:space="0"/>
              <w:right w:val="single" w:color="auto" w:sz="4" w:space="0"/>
            </w:tcBorders>
            <w:vAlign w:val="center"/>
          </w:tcPr>
          <w:p>
            <w:pPr>
              <w:snapToGrid w:val="0"/>
              <w:ind w:left="0" w:leftChars="0" w:firstLine="0" w:firstLineChars="0"/>
              <w:jc w:val="center"/>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主要教学内容和要求</w:t>
            </w:r>
          </w:p>
        </w:tc>
        <w:tc>
          <w:tcPr>
            <w:tcW w:w="903" w:type="dxa"/>
            <w:tcBorders>
              <w:top w:val="single" w:color="auto" w:sz="4" w:space="0"/>
              <w:left w:val="single" w:color="auto" w:sz="4" w:space="0"/>
              <w:bottom w:val="single" w:color="auto" w:sz="4" w:space="0"/>
              <w:right w:val="single" w:color="auto" w:sz="4" w:space="0"/>
            </w:tcBorders>
            <w:vAlign w:val="center"/>
          </w:tcPr>
          <w:p>
            <w:pPr>
              <w:snapToGrid w:val="0"/>
              <w:ind w:left="0" w:leftChars="0" w:firstLine="0" w:firstLineChars="0"/>
              <w:jc w:val="center"/>
              <w:rPr>
                <w:rFonts w:ascii="仿宋" w:hAnsi="仿宋" w:eastAsia="仿宋"/>
                <w:b/>
                <w:color w:val="000000" w:themeColor="text1"/>
                <w:sz w:val="30"/>
                <w:szCs w:val="30"/>
                <w14:textFill>
                  <w14:solidFill>
                    <w14:schemeClr w14:val="tx1"/>
                  </w14:solidFill>
                </w14:textFill>
              </w:rPr>
            </w:pPr>
            <w:r>
              <w:rPr>
                <w:rFonts w:hint="eastAsia" w:ascii="仿宋" w:hAnsi="仿宋" w:eastAsia="仿宋"/>
                <w:b/>
                <w:color w:val="000000" w:themeColor="text1"/>
                <w:sz w:val="30"/>
                <w:szCs w:val="30"/>
                <w14:textFill>
                  <w14:solidFill>
                    <w14:schemeClr w14:val="tx1"/>
                  </w14:solidFill>
                </w14:textFill>
              </w:rPr>
              <w:t>参考学时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中国特色社会主义</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依据教育部《中等职业学校公共基础课课程方案》开设，以习近平新时代中国特色社会主义思想为指导，阐释中国特色社会主义的开创与发展，明确中国特色社会主义进入新时代的历史方位， 阐明中国特色社会主义建设“五位一体”总体布局的基本内容，引导学生树立对马克思主义的信仰、对中国特色社会主义的信念、对中华民族伟大复兴中国梦的信心，坚定中国特色社会主义道路自信、理论自信、制度自信、文化自信，把爱国情、强国志、报国行自觉融入坚持和发展中国特色社会主义事业、建设社会主义现代化强国、实现中华民族伟大复兴的奋斗之中。通过学习，学生能够正确认识中华民族近代以来从站起来到富起来再到强起来的发展进程；明确中国特色社会主义制度的显著优势，坚决拥护中国共产党的领导，坚定中国特色社会主义道路自信、理论自信、制度自信、文化自信；认清自己在实现中国特色社会主义新时代发展目标中的历史机遇与使命担当，以热爱祖国为立身之本、成才之基，在新时代新征程中健康成长、成才报国。</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2</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心理健康与职业生涯</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基于社会发展对中职学生心理素质、职业生涯发展提出的新要求以及心理和谐、职业成才的培养目标，阐释心理健康知识，引导学生树立心理健康意识，掌握心理调适和职业生涯规划的方法，帮助学生正确处理生活、学习、成长和求职就业中遇到的问题，培育自立自强、敬业乐群的心理品质和自尊自信、理性平和、积极向上的良好心态，根据社会发展需要和学生心理特点进行职业生涯指导，为职业生涯发展奠定基础。通过学习，学生应能结合活动体验和社会实践，了解心理健康、职业生涯的基本知识，树立心理健康意识，掌握心理调适方法，形成适应时代发展的职业理想和职业发展观，探寻符合自身实际和社会发展的积极生活目标，养成自立自强、敬业乐群的心理品质和自尊自信、理性平和、积极向上的良好心态，提高应对挫折与适应社会的能力，掌握制订和执行职业生涯规划的方法，提升职业素养，为顺利就业创业创造条件。</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3</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哲学与人生</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阐明马克思主义哲学是科学的世界观和方法论，讲述辩证唯物主义和历史唯物主义基本观点及其对人生成长的意义；阐述社会生活及个人成长中进行正确价值判断和行为选择的意义；引导学生弘扬和践行社会主义核心价值观，为学生成长奠定正确的世界观、人生观和价值观基础。通过学习，学生能够了解马克思主义哲学基本原理，运用辩证唯物主义和历史唯物主义观点认识世界，坚持实践第一的观点，一切从实际出发、实事求是，学会用具体问题具体分析等方法，正确认识社会问题，分析和处理个人成长中的人生问题，在生活中做出正确的价值判断和行为选择，自觉弘扬和践行社会主义核心价值观，为形成正确的世界观、人生观和价值观奠定基础</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4</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职业道德与法治</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着眼于提高中职学生的职业道德素质和法治素养，对学生进行职业道德和法治教育。帮助学生理解全面依法治国的总目标和基本要求，了解职业道德和法律规范，增强职业道德和法治意识，养成爱岗敬业、依法办事的思维方式和行为习惯。通过学习，学生能够理解全面依法治国的总目标，了解我国新时代加强公民道德建设、践行职业道德的主要内容及其重要意义；能够掌握加强职业道德修养的主要方法，初步具备依法维权和有序参与公共事务的能力；能够根据社会发展需要、结合自身实际， 以道德和法律的要求规范自己的言行，做恪守道德规范、尊法学法守法用法的好公民。</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5</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历史（中国历史、世界历史）</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本课程是在义务教育历史课程的基础上，以唯物史观为指导，促进中等职业学校学生进一步了解人类社会形态从低级到高级发展的基本脉络、基本规律和优秀文化成果；从历史的角度了解和思考人与人、人与社会、人与自然的关系，增强历史使命感和社会责任感；进一步弘扬以爱国主义为核心的民族精神和以改革创新为核心的时代精神， 培育和践行社会主义核心价值观；树立正确的历史观、民族观、国家观和文化观；塑造健全的人格，养成职业精神，培养德智体美劳全面发展的社会主义建设者和接班人。</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6</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语文</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语文课程对于全面贯彻党的教育方针，落实立德树人根本任务，发展素质教育，推进教育公平，培养德智体美劳全面发展的社会主义建设者和接班人具有重要作用。是在义务教育的基础上，进一步培养学生掌握基础知识和基本技能，强化关键能力，使学生具有较强的语言文字运用能力、思维能力和审美能力，传承和弘扬中华优秀文化，接受人类进步文化，汲取人类文明优秀成果，形成良好的思想道德品质、科学素养和人文素养， 为学生学好专业知识与技能，提高就业创业能力和终身发展能力，成为全面发展的高素质劳动者和技术技能人才奠定基础。</w:t>
            </w:r>
          </w:p>
          <w:p>
            <w:pPr>
              <w:spacing w:line="240" w:lineRule="atLeast"/>
              <w:ind w:firstLine="0" w:firstLineChars="0"/>
              <w:rPr>
                <w:rFonts w:hint="eastAsia" w:ascii="仿宋" w:hAnsi="仿宋" w:eastAsia="仿宋" w:cs="仿宋"/>
                <w:color w:val="auto"/>
                <w:sz w:val="32"/>
                <w:szCs w:val="32"/>
              </w:rPr>
            </w:pP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7</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数学</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依据教育部《中等职业学校公共基础课课程方案》开设，中职数学课程是使中等职业学校学生获得进一步学习和职业发展所必需的数学知识、数学技能、数学方法、数学思想和活动经验；具备中 等职业学校数学学科核心素养，形成在继续学习和未来工作中运用数学知识和经验发现问题的意识、运用数学的思想方法和工具解决问题的能力；具备一定的科 学精神和工匠精神，养成良好的道德品质，增强创新意识，成为德智体美劳全面发展的高素质劳动者和技术技能人才。</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8</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英语</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依据教育部《中等职业学校公共基础课课程方案》开设，中职英语课程是在义务教育基础上，帮助学生进一步学习语 言基础知识，提高听、说、读、写等语言技能，发展中等职业学校英语学科核心 素养；引导学生在真实情境中开展语言实践活动，认识文化的多样性，形成开放 包容的态度，发展健康的审美情趣；理解思维差异，增强国际理解，坚定文化自 信；帮助学生树立正确的世界观、人生观和价值观，自觉践行社会主义核心价值 观，成为德智体美劳全面发展的高素质劳动者和技术技能人才。</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9</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艺术</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依据教育部《中等职业学校公共基础课课程方案》开设，本课程包含音乐、美 术、舞蹈、设计、工艺、戏剧、影视等艺术门类的综合性课程，与义务教育阶段 艺术相关课程相衔接，具有思想性、民族性、时代性、人文性、审美性和实践性, 是中等职业学校实施美育的基本途径。课程坚持立德树人，充分发挥艺术学科独特的育人功 能，以美育人，以文化人，以情动人，提高学生的审美和人文素养，积极引导学 生主动参与艺术学习和实践，进一步积累和掌握艺术基础知识、基本技能和方法, 培养学生感受美、鉴赏美、表现美、创造美的能力，帮助学生塑造美好心灵，健 全健康人格，厚植民族情感，增进文化认同，坚定文化自信，成为德智体美劳全 面发展的高素质劳动者和技术技能人才。</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10</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信息技术</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 xml:space="preserve">依据教育部《中等职业学校公共基础课课程方案》开设，学生通过对 信息技术基础知识与技能的学习，有助于增强信息意识、发展计算思维、提高数 字化学习与创新能力、树立正确的信息社会价值观和责任感，培养符合时代要求 的信息素养与适应职业发展需要的信息能力。本课程的任务是全面贯彻党的教育方针，落实立德树人 根本任务，满足国家信息化发展战略对人才培养的要求，围绕中等职业学校信息 技术学科核心素养，吸纳相关领域的前沿成果，引导学生通过对信息技术知识与 技能的学习和应用实践，增强信息意识，掌握信息化环境中生产、生活与学习技 能，提高参与信息社会的责任感与行为能力，为就业和未来发展奠定基础，成为 德智体美全面发展的高素质劳动者和技术技能人才。   </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11</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体育与健康</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依据教育部《中等职业学校公共基础课课程方案》开设，本课程 是以身体练习为主要手段，以体育与健康的知识、技能和方法的传授为主要内 容，以培养中等职业学校学生的体育与健康学科核心素养和促进学生身心健康 发展为主要目标的综合性课程。通过传授体育与健康的知识、技能和方法，提高学生的体育运动能 力，培养运动爱好和专长，使学生养成终身体育锻炼的习惯，形成健康的行为 与生活方式，健全人格，强健体魄，具备身心健康和职业生涯发展必备的体育 与健康学科核心素养，引领学生成为德智体美劳全面发展的高素质劳动者和技术 技能人才。</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12</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劳动法（选修）</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本课程为选修课程，以“劳动法是维护劳动者权益之法”为基本理念，贯穿整个教学和学习过程，从劳动法的基本理论出发，学习劳动法律关系、促进就业与劳动保护、社会保险、劳动合同、工资工时、劳动保护制度等内容，通过学习，使学生掌握劳动法的基本制度和内容，培养学生运用劳动法知识分析和解决现实生活中实际问题的能力，懂得劳动者在劳动者享有的权利和承担的义务，依法签订和履行劳动合同，依法保护自己的合法权益。</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13</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国学（选修）</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本课程是为适应现代社会对全面协调发展的人才的需求而开设的公共选修课程。以中国传统文化为内容，旨在普及国学知识，提升国学素养，提振民族自信，增强民族凝聚力，为学生的未来发展提供人文素养的支持和不竭的动力，为培养全面发展的高素质人才打下坚实基础，增强其就业竞争力和社会适应能力。课程总体要求是通过教学，使学生了解国学基本知识，了解对国人影响深远的国学思想和文化，使学生具备自觉追求高雅、仁善和礼义的能力，形成以崇德尚礼、尊师重道、博爱仁善为基本内容的人文素养。</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2"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14</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民族文化（八桂文化）（选修）</w:t>
            </w:r>
          </w:p>
        </w:tc>
        <w:tc>
          <w:tcPr>
            <w:tcW w:w="5885" w:type="dxa"/>
            <w:tcBorders>
              <w:top w:val="single" w:color="auto" w:sz="4" w:space="0"/>
              <w:left w:val="single" w:color="auto" w:sz="4" w:space="0"/>
              <w:bottom w:val="single" w:color="auto" w:sz="4" w:space="0"/>
              <w:right w:val="single" w:color="auto" w:sz="4" w:space="0"/>
            </w:tcBorders>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rPr>
              <w:t>本课程是一门中等职业学校人文素质课程，是公共基础选修课。本课程以文化鉴赏为切入点，向学生们介绍广西独特的文化现象，引导学生透过这些具体的、表层的文化现象理解和把握广西文化的深层内涵和价值，并获得个体独特的感受和体验。本课程旨在用健康向上的文化来陶冶学生的思想情操，提高他们的思想认识水平，提升人文精神境界。培养学生对本土文化的认知和感情，了解本土文化发展的历史、八桂大地的风土人情等，丰富学生的人文知识，激发学生热爱祖国热爱家乡的家国情怀。</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jc w:val="center"/>
        </w:trPr>
        <w:tc>
          <w:tcPr>
            <w:tcW w:w="8158" w:type="dxa"/>
            <w:gridSpan w:val="3"/>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28"/>
                <w:szCs w:val="28"/>
              </w:rPr>
            </w:pPr>
            <w:r>
              <w:rPr>
                <w:rFonts w:hint="eastAsia" w:ascii="仿宋" w:hAnsi="仿宋" w:eastAsia="仿宋" w:cs="仿宋"/>
                <w:color w:val="auto"/>
                <w:sz w:val="28"/>
                <w:szCs w:val="28"/>
              </w:rPr>
              <w:t>合计</w:t>
            </w:r>
          </w:p>
        </w:tc>
        <w:tc>
          <w:tcPr>
            <w:tcW w:w="903" w:type="dxa"/>
            <w:tcBorders>
              <w:top w:val="single" w:color="auto" w:sz="4" w:space="0"/>
              <w:left w:val="single" w:color="auto" w:sz="4" w:space="0"/>
              <w:bottom w:val="single" w:color="auto" w:sz="4" w:space="0"/>
              <w:right w:val="single" w:color="auto" w:sz="4" w:space="0"/>
            </w:tcBorders>
            <w:vAlign w:val="center"/>
          </w:tcPr>
          <w:p>
            <w:pPr>
              <w:spacing w:line="240" w:lineRule="atLeast"/>
              <w:ind w:firstLine="0" w:firstLineChars="0"/>
              <w:jc w:val="center"/>
              <w:rPr>
                <w:rFonts w:hint="eastAsia" w:ascii="仿宋" w:hAnsi="仿宋" w:eastAsia="仿宋" w:cs="仿宋"/>
                <w:color w:val="auto"/>
                <w:sz w:val="28"/>
                <w:szCs w:val="28"/>
              </w:rPr>
            </w:pPr>
            <w:r>
              <w:rPr>
                <w:rFonts w:hint="eastAsia" w:ascii="仿宋" w:hAnsi="仿宋" w:eastAsia="仿宋" w:cs="仿宋"/>
                <w:color w:val="auto"/>
                <w:sz w:val="28"/>
                <w:szCs w:val="28"/>
              </w:rPr>
              <w:t>1098</w:t>
            </w:r>
          </w:p>
        </w:tc>
      </w:tr>
    </w:tbl>
    <w:p>
      <w:pPr>
        <w:pStyle w:val="2"/>
        <w:ind w:firstLine="643"/>
        <w:rPr>
          <w:rFonts w:hint="eastAsia" w:ascii="楷体" w:hAnsi="楷体" w:eastAsia="楷体" w:cs="楷体"/>
          <w:color w:val="auto"/>
        </w:rPr>
      </w:pPr>
      <w:r>
        <w:rPr>
          <w:rFonts w:hint="eastAsia" w:ascii="楷体" w:hAnsi="楷体" w:eastAsia="楷体" w:cs="楷体"/>
          <w:color w:val="auto"/>
        </w:rPr>
        <w:t>（</w:t>
      </w:r>
      <w:r>
        <w:rPr>
          <w:rFonts w:hint="eastAsia" w:ascii="楷体" w:hAnsi="楷体" w:eastAsia="楷体" w:cs="楷体"/>
          <w:color w:val="auto"/>
          <w:lang w:eastAsia="zh-CN"/>
        </w:rPr>
        <w:t>二</w:t>
      </w:r>
      <w:r>
        <w:rPr>
          <w:rFonts w:hint="eastAsia" w:ascii="楷体" w:hAnsi="楷体" w:eastAsia="楷体" w:cs="楷体"/>
          <w:color w:val="auto"/>
        </w:rPr>
        <w:t>）专业课程</w:t>
      </w:r>
    </w:p>
    <w:p>
      <w:pPr>
        <w:pStyle w:val="4"/>
        <w:ind w:firstLine="643"/>
        <w:rPr>
          <w:rFonts w:hint="eastAsia" w:ascii="仿宋" w:hAnsi="仿宋" w:eastAsia="仿宋" w:cs="仿宋"/>
          <w:color w:val="auto"/>
        </w:rPr>
      </w:pPr>
      <w:r>
        <w:rPr>
          <w:rFonts w:hint="eastAsia" w:ascii="仿宋" w:hAnsi="仿宋" w:eastAsia="仿宋" w:cs="仿宋"/>
          <w:color w:val="auto"/>
        </w:rPr>
        <w:t>1.专业核心课</w:t>
      </w:r>
    </w:p>
    <w:tbl>
      <w:tblPr>
        <w:tblStyle w:val="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1375"/>
        <w:gridCol w:w="5754"/>
        <w:gridCol w:w="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blHeader/>
          <w:jc w:val="center"/>
        </w:trPr>
        <w:tc>
          <w:tcPr>
            <w:tcW w:w="1008" w:type="dxa"/>
            <w:vAlign w:val="center"/>
          </w:tcPr>
          <w:p>
            <w:pPr>
              <w:spacing w:line="240" w:lineRule="atLeast"/>
              <w:ind w:firstLine="0" w:firstLineChars="0"/>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序号</w:t>
            </w:r>
          </w:p>
        </w:tc>
        <w:tc>
          <w:tcPr>
            <w:tcW w:w="1375" w:type="dxa"/>
            <w:vAlign w:val="center"/>
          </w:tcPr>
          <w:p>
            <w:pPr>
              <w:spacing w:line="240" w:lineRule="atLeast"/>
              <w:ind w:firstLine="0" w:firstLineChars="0"/>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课程名称</w:t>
            </w:r>
          </w:p>
        </w:tc>
        <w:tc>
          <w:tcPr>
            <w:tcW w:w="5754" w:type="dxa"/>
            <w:vAlign w:val="center"/>
          </w:tcPr>
          <w:p>
            <w:pPr>
              <w:spacing w:line="240" w:lineRule="atLeast"/>
              <w:ind w:firstLine="0" w:firstLineChars="0"/>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主要教学内容和要求</w:t>
            </w:r>
          </w:p>
        </w:tc>
        <w:tc>
          <w:tcPr>
            <w:tcW w:w="924" w:type="dxa"/>
            <w:vAlign w:val="center"/>
          </w:tcPr>
          <w:p>
            <w:pPr>
              <w:spacing w:line="240" w:lineRule="atLeast"/>
              <w:ind w:firstLine="0" w:firstLineChars="0"/>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参考学时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w:t>
            </w:r>
          </w:p>
        </w:tc>
        <w:tc>
          <w:tcPr>
            <w:tcW w:w="1375" w:type="dxa"/>
            <w:vAlign w:val="center"/>
          </w:tcPr>
          <w:p>
            <w:pPr>
              <w:spacing w:line="240" w:lineRule="atLeast"/>
              <w:ind w:firstLine="0" w:firstLineChars="0"/>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sz w:val="32"/>
                <w:szCs w:val="32"/>
              </w:rPr>
              <w:t>网店装修</w:t>
            </w:r>
          </w:p>
        </w:tc>
        <w:tc>
          <w:tcPr>
            <w:tcW w:w="5754" w:type="dxa"/>
            <w:vAlign w:val="top"/>
          </w:tcPr>
          <w:p>
            <w:pPr>
              <w:spacing w:line="240" w:lineRule="atLeast"/>
              <w:ind w:firstLine="0" w:firstLineChars="0"/>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sz w:val="32"/>
                <w:szCs w:val="32"/>
              </w:rPr>
              <w:t>本课程是中等职业学校电子商务专业学生必修的一门</w:t>
            </w:r>
            <w:r>
              <w:rPr>
                <w:rFonts w:hint="eastAsia" w:ascii="仿宋" w:hAnsi="仿宋" w:eastAsia="仿宋" w:cs="仿宋"/>
                <w:color w:val="auto"/>
                <w:sz w:val="32"/>
                <w:szCs w:val="32"/>
                <w:lang w:eastAsia="zh-CN"/>
              </w:rPr>
              <w:t>核心</w:t>
            </w:r>
            <w:r>
              <w:rPr>
                <w:rFonts w:hint="eastAsia" w:ascii="仿宋" w:hAnsi="仿宋" w:eastAsia="仿宋" w:cs="仿宋"/>
                <w:color w:val="auto"/>
                <w:sz w:val="32"/>
                <w:szCs w:val="32"/>
              </w:rPr>
              <w:t>课程，其任务是使学生熟悉网络装修的基本要求，能运用所学知识实际网店装修，有营销效果，满足客户需求。</w:t>
            </w:r>
          </w:p>
        </w:tc>
        <w:tc>
          <w:tcPr>
            <w:tcW w:w="924" w:type="dxa"/>
            <w:vAlign w:val="center"/>
          </w:tcPr>
          <w:p>
            <w:pPr>
              <w:spacing w:line="240" w:lineRule="atLeast"/>
              <w:ind w:firstLine="0" w:firstLineChars="0"/>
              <w:jc w:val="center"/>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sz w:val="32"/>
                <w:szCs w:val="32"/>
                <w:lang w:val="en-US" w:eastAsia="zh-CN"/>
              </w:rPr>
              <w:t>144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w:t>
            </w:r>
          </w:p>
        </w:tc>
        <w:tc>
          <w:tcPr>
            <w:tcW w:w="1375" w:type="dxa"/>
            <w:vAlign w:val="center"/>
          </w:tcPr>
          <w:p>
            <w:pPr>
              <w:spacing w:line="240" w:lineRule="atLeast"/>
              <w:ind w:firstLine="0" w:firstLineChars="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网店运营推广</w:t>
            </w:r>
          </w:p>
        </w:tc>
        <w:tc>
          <w:tcPr>
            <w:tcW w:w="5754" w:type="dxa"/>
            <w:vAlign w:val="top"/>
          </w:tcPr>
          <w:p>
            <w:pPr>
              <w:spacing w:line="240" w:lineRule="atLeast"/>
              <w:ind w:firstLine="0" w:firstLineChars="0"/>
              <w:rPr>
                <w:rFonts w:hint="eastAsia" w:ascii="仿宋" w:hAnsi="仿宋" w:eastAsia="仿宋" w:cs="仿宋"/>
                <w:color w:val="auto"/>
                <w:sz w:val="32"/>
                <w:szCs w:val="32"/>
              </w:rPr>
            </w:pPr>
            <w:r>
              <w:rPr>
                <w:rFonts w:hint="eastAsia" w:ascii="仿宋" w:hAnsi="仿宋" w:eastAsia="仿宋" w:cs="仿宋"/>
                <w:color w:val="auto"/>
                <w:sz w:val="32"/>
                <w:szCs w:val="32"/>
                <w:lang w:eastAsia="zh-CN"/>
              </w:rPr>
              <w:t>本课程主要目标使学生</w:t>
            </w:r>
            <w:r>
              <w:rPr>
                <w:rFonts w:hint="eastAsia" w:ascii="仿宋" w:hAnsi="仿宋" w:eastAsia="仿宋" w:cs="仿宋"/>
                <w:color w:val="auto"/>
                <w:sz w:val="32"/>
                <w:szCs w:val="32"/>
              </w:rPr>
              <w:t>能根据需求，</w:t>
            </w:r>
            <w:r>
              <w:rPr>
                <w:rFonts w:hint="eastAsia" w:ascii="仿宋" w:hAnsi="仿宋" w:eastAsia="仿宋" w:cs="仿宋"/>
                <w:color w:val="auto"/>
                <w:sz w:val="32"/>
                <w:szCs w:val="32"/>
                <w:lang w:val="en-US" w:eastAsia="zh-CN"/>
              </w:rPr>
              <w:t>完成商品上传与维护、营销活动设置、日常订单管理、首页设计与制作、详情页设计与制作、自定义页设计与制作、</w:t>
            </w:r>
            <w:r>
              <w:rPr>
                <w:rFonts w:hint="eastAsia" w:ascii="仿宋" w:hAnsi="仿宋" w:eastAsia="仿宋" w:cs="仿宋"/>
                <w:color w:val="auto"/>
                <w:sz w:val="32"/>
                <w:szCs w:val="32"/>
              </w:rPr>
              <w:t>设计网站风格、网页布局、网站色调等，并使用设计类工具软件呈现设计效果图</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客户问题处理、交易促成以及客户关系维护等工作任务，具备网店开设与装修、客户服务能力。</w:t>
            </w:r>
          </w:p>
        </w:tc>
        <w:tc>
          <w:tcPr>
            <w:tcW w:w="924"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w:t>
            </w:r>
          </w:p>
        </w:tc>
        <w:tc>
          <w:tcPr>
            <w:tcW w:w="1375" w:type="dxa"/>
            <w:vAlign w:val="center"/>
          </w:tcPr>
          <w:p>
            <w:pPr>
              <w:spacing w:line="240" w:lineRule="atLeast"/>
              <w:ind w:firstLine="0" w:firstLineChars="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电子商务数据分析</w:t>
            </w:r>
          </w:p>
        </w:tc>
        <w:tc>
          <w:tcPr>
            <w:tcW w:w="5754" w:type="dxa"/>
            <w:vAlign w:val="top"/>
          </w:tcPr>
          <w:p>
            <w:pPr>
              <w:spacing w:line="240" w:lineRule="atLeast"/>
              <w:ind w:firstLine="0" w:firstLineChars="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本课程主要目标使学生</w:t>
            </w:r>
            <w:r>
              <w:rPr>
                <w:rFonts w:hint="eastAsia" w:ascii="仿宋" w:hAnsi="仿宋" w:eastAsia="仿宋" w:cs="仿宋"/>
                <w:color w:val="auto"/>
                <w:sz w:val="32"/>
                <w:szCs w:val="32"/>
                <w:lang w:val="en-US" w:eastAsia="zh-CN"/>
              </w:rPr>
              <w:t>能根据业务需求，掌握基础数据采集、数据处理与描述性分析、基础数据监控与报表制作。</w:t>
            </w:r>
          </w:p>
        </w:tc>
        <w:tc>
          <w:tcPr>
            <w:tcW w:w="924"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w:t>
            </w:r>
          </w:p>
        </w:tc>
        <w:tc>
          <w:tcPr>
            <w:tcW w:w="1375" w:type="dxa"/>
            <w:vAlign w:val="center"/>
          </w:tcPr>
          <w:p>
            <w:pPr>
              <w:spacing w:line="240" w:lineRule="atLeast"/>
              <w:ind w:firstLine="0" w:firstLineChars="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微网站设计</w:t>
            </w:r>
          </w:p>
        </w:tc>
        <w:tc>
          <w:tcPr>
            <w:tcW w:w="5754" w:type="dxa"/>
            <w:vAlign w:val="top"/>
          </w:tcPr>
          <w:p>
            <w:pPr>
              <w:spacing w:line="240" w:lineRule="atLeast"/>
              <w:ind w:firstLine="0" w:firstLineChars="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本课程主要使学生熟练掌握基于移动网站的规划、微网的界面交互设计制作、信息归纳整 理、代码编写、移动应用生成等能力，提高其移动应用服务方面 的岗位职业素养，</w:t>
            </w:r>
          </w:p>
        </w:tc>
        <w:tc>
          <w:tcPr>
            <w:tcW w:w="924"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w:t>
            </w:r>
          </w:p>
        </w:tc>
        <w:tc>
          <w:tcPr>
            <w:tcW w:w="1375" w:type="dxa"/>
            <w:vAlign w:val="center"/>
          </w:tcPr>
          <w:p>
            <w:pPr>
              <w:spacing w:line="240" w:lineRule="atLeast"/>
              <w:ind w:firstLine="0" w:firstLineChars="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电商直播</w:t>
            </w:r>
          </w:p>
        </w:tc>
        <w:tc>
          <w:tcPr>
            <w:tcW w:w="5754" w:type="dxa"/>
            <w:vAlign w:val="top"/>
          </w:tcPr>
          <w:p>
            <w:pPr>
              <w:spacing w:line="240" w:lineRule="atLeast"/>
              <w:ind w:firstLine="0" w:firstLineChars="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通过学习，学生能根据业务需求，掌握直播间搭建与运维、直播执行、直播后运维与数据整理等工作，具备直播平台操作、直播执行和初步的数据分析能力，</w:t>
            </w:r>
            <w:r>
              <w:rPr>
                <w:rFonts w:hint="eastAsia" w:ascii="仿宋" w:hAnsi="仿宋" w:eastAsia="仿宋" w:cs="仿宋"/>
                <w:color w:val="auto"/>
                <w:sz w:val="32"/>
                <w:szCs w:val="32"/>
              </w:rPr>
              <w:t>能处理电子商务平台的交易投诉，准确地执行平台营销的各种工作，能按照服务规范与流程，服务客户，提出顾客接受的解决方案。</w:t>
            </w:r>
          </w:p>
        </w:tc>
        <w:tc>
          <w:tcPr>
            <w:tcW w:w="924"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6</w:t>
            </w:r>
          </w:p>
        </w:tc>
        <w:tc>
          <w:tcPr>
            <w:tcW w:w="1375" w:type="dxa"/>
            <w:vAlign w:val="center"/>
          </w:tcPr>
          <w:p>
            <w:pPr>
              <w:spacing w:line="240" w:lineRule="atLeast"/>
              <w:ind w:firstLine="0" w:firstLineChars="0"/>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sz w:val="32"/>
                <w:szCs w:val="32"/>
              </w:rPr>
              <w:t>新媒体运营</w:t>
            </w:r>
          </w:p>
        </w:tc>
        <w:tc>
          <w:tcPr>
            <w:tcW w:w="5754" w:type="dxa"/>
            <w:vAlign w:val="top"/>
          </w:tcPr>
          <w:p>
            <w:pPr>
              <w:spacing w:line="240" w:lineRule="atLeast"/>
              <w:ind w:firstLine="0" w:firstLineChars="0"/>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sz w:val="32"/>
                <w:szCs w:val="32"/>
              </w:rPr>
              <w:t>该课程主要教授学生利用微信微博等</w:t>
            </w:r>
            <w:r>
              <w:rPr>
                <w:rFonts w:hint="eastAsia" w:ascii="仿宋" w:hAnsi="仿宋" w:eastAsia="仿宋" w:cs="仿宋"/>
                <w:color w:val="auto"/>
                <w:sz w:val="32"/>
                <w:szCs w:val="32"/>
              </w:rPr>
              <w:fldChar w:fldCharType="begin"/>
            </w:r>
            <w:r>
              <w:rPr>
                <w:rFonts w:hint="eastAsia" w:ascii="仿宋" w:hAnsi="仿宋" w:eastAsia="仿宋" w:cs="仿宋"/>
                <w:color w:val="auto"/>
                <w:sz w:val="32"/>
                <w:szCs w:val="32"/>
              </w:rPr>
              <w:instrText xml:space="preserve"> HYPERLINK "https://baike.so.com/doc/5013890-5239245.html" \t "https://baike.so.com/doc/_blank" </w:instrText>
            </w:r>
            <w:r>
              <w:rPr>
                <w:rFonts w:hint="eastAsia" w:ascii="仿宋" w:hAnsi="仿宋" w:eastAsia="仿宋" w:cs="仿宋"/>
                <w:color w:val="auto"/>
                <w:sz w:val="32"/>
                <w:szCs w:val="32"/>
              </w:rPr>
              <w:fldChar w:fldCharType="separate"/>
            </w:r>
            <w:r>
              <w:rPr>
                <w:rFonts w:hint="eastAsia" w:ascii="仿宋" w:hAnsi="仿宋" w:eastAsia="仿宋" w:cs="仿宋"/>
                <w:color w:val="auto"/>
                <w:sz w:val="32"/>
                <w:szCs w:val="32"/>
              </w:rPr>
              <w:t>自媒体</w:t>
            </w:r>
            <w:r>
              <w:rPr>
                <w:rFonts w:hint="eastAsia" w:ascii="仿宋" w:hAnsi="仿宋" w:eastAsia="仿宋" w:cs="仿宋"/>
                <w:color w:val="auto"/>
                <w:sz w:val="32"/>
                <w:szCs w:val="32"/>
              </w:rPr>
              <w:fldChar w:fldCharType="end"/>
            </w:r>
            <w:r>
              <w:rPr>
                <w:rFonts w:hint="eastAsia" w:ascii="仿宋" w:hAnsi="仿宋" w:eastAsia="仿宋" w:cs="仿宋"/>
                <w:color w:val="auto"/>
                <w:sz w:val="32"/>
                <w:szCs w:val="32"/>
              </w:rPr>
              <w:t>平台进行品牌推广，产品营销；策划品牌相关的、优质、有高度传播性的内容和线上活动；向客户广泛或者精准推送消息，提高参与度，提高知名度，从而充分利用粉丝经济，达到相应目的。</w:t>
            </w:r>
          </w:p>
        </w:tc>
        <w:tc>
          <w:tcPr>
            <w:tcW w:w="924" w:type="dxa"/>
            <w:vAlign w:val="center"/>
          </w:tcPr>
          <w:p>
            <w:pPr>
              <w:spacing w:line="240" w:lineRule="atLeast"/>
              <w:ind w:firstLine="0" w:firstLineChars="0"/>
              <w:jc w:val="center"/>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sz w:val="32"/>
                <w:szCs w:val="32"/>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137" w:type="dxa"/>
            <w:gridSpan w:val="3"/>
            <w:vAlign w:val="center"/>
          </w:tcPr>
          <w:p>
            <w:pPr>
              <w:spacing w:line="240" w:lineRule="atLeast"/>
              <w:ind w:firstLine="0" w:firstLine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合计</w:t>
            </w:r>
          </w:p>
        </w:tc>
        <w:tc>
          <w:tcPr>
            <w:tcW w:w="924" w:type="dxa"/>
            <w:vAlign w:val="center"/>
          </w:tcPr>
          <w:p>
            <w:pPr>
              <w:spacing w:line="240" w:lineRule="atLeast"/>
              <w:ind w:firstLine="0" w:firstLineChars="0"/>
              <w:jc w:val="cente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594</w:t>
            </w:r>
          </w:p>
        </w:tc>
      </w:tr>
    </w:tbl>
    <w:p>
      <w:pPr>
        <w:ind w:firstLine="643"/>
        <w:outlineLvl w:val="9"/>
        <w:rPr>
          <w:color w:val="auto"/>
        </w:rPr>
      </w:pPr>
    </w:p>
    <w:p>
      <w:pPr>
        <w:pStyle w:val="4"/>
        <w:ind w:firstLine="643"/>
        <w:rPr>
          <w:rFonts w:hint="eastAsia" w:ascii="仿宋" w:hAnsi="仿宋" w:eastAsia="仿宋" w:cs="仿宋"/>
          <w:color w:val="auto"/>
        </w:rPr>
      </w:pPr>
      <w:r>
        <w:rPr>
          <w:rFonts w:hint="eastAsia" w:ascii="仿宋" w:hAnsi="仿宋" w:eastAsia="仿宋" w:cs="仿宋"/>
          <w:color w:val="auto"/>
        </w:rPr>
        <w:t>2.专业</w:t>
      </w:r>
      <w:r>
        <w:rPr>
          <w:rFonts w:hint="eastAsia" w:ascii="仿宋" w:hAnsi="仿宋" w:eastAsia="仿宋" w:cs="仿宋"/>
          <w:color w:val="auto"/>
          <w:lang w:eastAsia="zh-CN"/>
        </w:rPr>
        <w:t>限选</w:t>
      </w:r>
      <w:r>
        <w:rPr>
          <w:rFonts w:hint="eastAsia" w:ascii="仿宋" w:hAnsi="仿宋" w:eastAsia="仿宋" w:cs="仿宋"/>
          <w:color w:val="auto"/>
        </w:rPr>
        <w:t>课程</w:t>
      </w:r>
    </w:p>
    <w:tbl>
      <w:tblPr>
        <w:tblStyle w:val="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1360"/>
        <w:gridCol w:w="5769"/>
        <w:gridCol w:w="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1008" w:type="dxa"/>
            <w:vAlign w:val="center"/>
          </w:tcPr>
          <w:p>
            <w:pPr>
              <w:spacing w:line="240" w:lineRule="atLeast"/>
              <w:ind w:firstLine="0" w:firstLineChars="0"/>
              <w:jc w:val="center"/>
              <w:rPr>
                <w:rFonts w:ascii="仿宋"/>
                <w:b/>
                <w:color w:val="auto"/>
                <w:sz w:val="28"/>
                <w:szCs w:val="28"/>
              </w:rPr>
            </w:pPr>
            <w:r>
              <w:rPr>
                <w:rFonts w:hint="eastAsia" w:ascii="仿宋" w:hAnsi="仿宋"/>
                <w:b/>
                <w:color w:val="auto"/>
                <w:sz w:val="28"/>
                <w:szCs w:val="28"/>
              </w:rPr>
              <w:t>序号</w:t>
            </w:r>
          </w:p>
        </w:tc>
        <w:tc>
          <w:tcPr>
            <w:tcW w:w="1360" w:type="dxa"/>
            <w:vAlign w:val="center"/>
          </w:tcPr>
          <w:p>
            <w:pPr>
              <w:spacing w:line="240" w:lineRule="atLeast"/>
              <w:ind w:firstLine="0" w:firstLineChars="0"/>
              <w:jc w:val="center"/>
              <w:rPr>
                <w:rFonts w:ascii="仿宋"/>
                <w:b/>
                <w:color w:val="auto"/>
                <w:sz w:val="28"/>
                <w:szCs w:val="28"/>
              </w:rPr>
            </w:pPr>
            <w:r>
              <w:rPr>
                <w:rFonts w:hint="eastAsia" w:ascii="仿宋" w:hAnsi="仿宋"/>
                <w:b/>
                <w:color w:val="auto"/>
                <w:sz w:val="28"/>
                <w:szCs w:val="28"/>
              </w:rPr>
              <w:t>课程名称</w:t>
            </w:r>
          </w:p>
        </w:tc>
        <w:tc>
          <w:tcPr>
            <w:tcW w:w="5769" w:type="dxa"/>
            <w:vAlign w:val="center"/>
          </w:tcPr>
          <w:p>
            <w:pPr>
              <w:spacing w:line="240" w:lineRule="atLeast"/>
              <w:ind w:firstLine="0" w:firstLineChars="0"/>
              <w:jc w:val="center"/>
              <w:rPr>
                <w:rFonts w:ascii="仿宋"/>
                <w:b/>
                <w:color w:val="auto"/>
                <w:sz w:val="28"/>
                <w:szCs w:val="28"/>
              </w:rPr>
            </w:pPr>
            <w:r>
              <w:rPr>
                <w:rFonts w:hint="eastAsia" w:ascii="仿宋" w:hAnsi="仿宋"/>
                <w:b/>
                <w:color w:val="auto"/>
                <w:sz w:val="28"/>
                <w:szCs w:val="28"/>
              </w:rPr>
              <w:t>主要教学内容和要求</w:t>
            </w:r>
          </w:p>
        </w:tc>
        <w:tc>
          <w:tcPr>
            <w:tcW w:w="924" w:type="dxa"/>
            <w:vAlign w:val="center"/>
          </w:tcPr>
          <w:p>
            <w:pPr>
              <w:spacing w:line="240" w:lineRule="atLeast"/>
              <w:ind w:firstLine="0" w:firstLineChars="0"/>
              <w:jc w:val="center"/>
              <w:rPr>
                <w:rFonts w:ascii="仿宋"/>
                <w:b/>
                <w:color w:val="auto"/>
                <w:sz w:val="28"/>
                <w:szCs w:val="28"/>
              </w:rPr>
            </w:pPr>
            <w:r>
              <w:rPr>
                <w:rFonts w:hint="eastAsia" w:ascii="仿宋" w:hAnsi="仿宋"/>
                <w:b/>
                <w:color w:val="auto"/>
                <w:sz w:val="28"/>
                <w:szCs w:val="28"/>
              </w:rPr>
              <w:t>参考学时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vAlign w:val="center"/>
          </w:tcPr>
          <w:p>
            <w:pPr>
              <w:spacing w:line="240" w:lineRule="atLeast"/>
              <w:ind w:firstLine="0" w:firstLineChars="0"/>
              <w:jc w:val="center"/>
              <w:rPr>
                <w:rFonts w:ascii="仿宋"/>
                <w:color w:val="auto"/>
                <w:sz w:val="32"/>
                <w:szCs w:val="32"/>
              </w:rPr>
            </w:pPr>
            <w:r>
              <w:rPr>
                <w:rFonts w:ascii="仿宋" w:hAnsi="仿宋"/>
                <w:color w:val="auto"/>
                <w:sz w:val="32"/>
                <w:szCs w:val="32"/>
              </w:rPr>
              <w:t>1</w:t>
            </w:r>
          </w:p>
        </w:tc>
        <w:tc>
          <w:tcPr>
            <w:tcW w:w="1360" w:type="dxa"/>
            <w:vAlign w:val="center"/>
          </w:tcPr>
          <w:p>
            <w:pPr>
              <w:spacing w:line="240" w:lineRule="atLeast"/>
              <w:ind w:firstLine="0" w:firstLineChars="0"/>
              <w:rPr>
                <w:rFonts w:ascii="仿宋"/>
                <w:color w:val="auto"/>
                <w:sz w:val="32"/>
                <w:szCs w:val="32"/>
              </w:rPr>
            </w:pPr>
            <w:r>
              <w:rPr>
                <w:rFonts w:hint="eastAsia" w:ascii="仿宋" w:hAnsi="仿宋"/>
                <w:color w:val="auto"/>
                <w:sz w:val="32"/>
                <w:szCs w:val="32"/>
              </w:rPr>
              <w:t>电子商务基础</w:t>
            </w:r>
          </w:p>
        </w:tc>
        <w:tc>
          <w:tcPr>
            <w:tcW w:w="5769" w:type="dxa"/>
          </w:tcPr>
          <w:p>
            <w:pPr>
              <w:spacing w:line="240" w:lineRule="atLeast"/>
              <w:ind w:firstLine="0" w:firstLineChars="0"/>
              <w:rPr>
                <w:rFonts w:ascii="仿宋"/>
                <w:color w:val="auto"/>
                <w:sz w:val="32"/>
                <w:szCs w:val="32"/>
              </w:rPr>
            </w:pPr>
            <w:r>
              <w:rPr>
                <w:rFonts w:hint="eastAsia" w:ascii="仿宋" w:hAnsi="仿宋"/>
                <w:color w:val="auto"/>
                <w:sz w:val="32"/>
                <w:szCs w:val="32"/>
              </w:rPr>
              <w:t>本课程是中等职业学校电子商务专业学生必修的一门专业核心课程，其任务以电子商务业务流程为主线，系统讲述电子商务的基本概念、电子商务模式、网络支付、物流信息、电子商务安全、网络推广、电子商务法规等基础知识。</w:t>
            </w:r>
          </w:p>
        </w:tc>
        <w:tc>
          <w:tcPr>
            <w:tcW w:w="924" w:type="dxa"/>
            <w:vAlign w:val="center"/>
          </w:tcPr>
          <w:p>
            <w:pPr>
              <w:spacing w:line="240" w:lineRule="atLeast"/>
              <w:ind w:firstLine="0" w:firstLineChars="0"/>
              <w:jc w:val="center"/>
              <w:rPr>
                <w:rFonts w:hint="default" w:ascii="仿宋" w:eastAsia="仿宋"/>
                <w:color w:val="auto"/>
                <w:sz w:val="32"/>
                <w:szCs w:val="32"/>
                <w:lang w:val="en-US" w:eastAsia="zh-CN"/>
              </w:rPr>
            </w:pPr>
            <w:r>
              <w:rPr>
                <w:rFonts w:hint="eastAsia" w:ascii="仿宋" w:hAnsi="仿宋"/>
                <w:color w:val="auto"/>
                <w:sz w:val="32"/>
                <w:szCs w:val="32"/>
                <w:lang w:val="en-US" w:eastAsia="zh-CN"/>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vAlign w:val="center"/>
          </w:tcPr>
          <w:p>
            <w:pPr>
              <w:spacing w:line="240" w:lineRule="atLeast"/>
              <w:ind w:firstLine="0" w:firstLineChars="0"/>
              <w:jc w:val="center"/>
              <w:rPr>
                <w:rFonts w:ascii="仿宋"/>
                <w:color w:val="auto"/>
                <w:sz w:val="32"/>
                <w:szCs w:val="32"/>
              </w:rPr>
            </w:pPr>
            <w:r>
              <w:rPr>
                <w:rFonts w:ascii="仿宋" w:hAnsi="仿宋"/>
                <w:color w:val="auto"/>
                <w:sz w:val="32"/>
                <w:szCs w:val="32"/>
              </w:rPr>
              <w:t>2</w:t>
            </w:r>
          </w:p>
        </w:tc>
        <w:tc>
          <w:tcPr>
            <w:tcW w:w="1360" w:type="dxa"/>
            <w:vAlign w:val="center"/>
          </w:tcPr>
          <w:p>
            <w:pPr>
              <w:spacing w:line="240" w:lineRule="atLeast"/>
              <w:ind w:firstLine="0" w:firstLineChars="0"/>
              <w:rPr>
                <w:rFonts w:hint="eastAsia" w:ascii="仿宋" w:eastAsia="仿宋"/>
                <w:color w:val="auto"/>
                <w:sz w:val="32"/>
                <w:szCs w:val="32"/>
                <w:lang w:eastAsia="zh-CN"/>
              </w:rPr>
            </w:pPr>
            <w:r>
              <w:rPr>
                <w:rFonts w:hint="eastAsia" w:ascii="仿宋" w:hAnsi="仿宋"/>
                <w:color w:val="auto"/>
                <w:sz w:val="32"/>
                <w:szCs w:val="32"/>
              </w:rPr>
              <w:t>营销</w:t>
            </w:r>
            <w:r>
              <w:rPr>
                <w:rFonts w:hint="eastAsia" w:ascii="仿宋" w:hAnsi="仿宋"/>
                <w:color w:val="auto"/>
                <w:sz w:val="32"/>
                <w:szCs w:val="32"/>
                <w:lang w:eastAsia="zh-CN"/>
              </w:rPr>
              <w:t>实务</w:t>
            </w:r>
          </w:p>
        </w:tc>
        <w:tc>
          <w:tcPr>
            <w:tcW w:w="5769" w:type="dxa"/>
          </w:tcPr>
          <w:p>
            <w:pPr>
              <w:spacing w:line="240" w:lineRule="atLeast"/>
              <w:ind w:firstLine="0" w:firstLineChars="0"/>
              <w:rPr>
                <w:rFonts w:ascii="仿宋"/>
                <w:color w:val="auto"/>
                <w:sz w:val="32"/>
                <w:szCs w:val="32"/>
              </w:rPr>
            </w:pPr>
            <w:r>
              <w:rPr>
                <w:rFonts w:hint="eastAsia" w:ascii="仿宋" w:hAnsi="仿宋"/>
                <w:color w:val="auto"/>
                <w:sz w:val="32"/>
                <w:szCs w:val="32"/>
              </w:rPr>
              <w:t>通过教学使学生掌握该课程的基本知识和分析方法，使学生对市场营销的基本内容有全面、系统的了解，并能结合实际分析与应用，适应以电子商务为核心的网络经济发展形势对人才的要求，为以后其他课程的学习和工作奠定一个坚实的基础。</w:t>
            </w:r>
          </w:p>
        </w:tc>
        <w:tc>
          <w:tcPr>
            <w:tcW w:w="924" w:type="dxa"/>
            <w:vAlign w:val="center"/>
          </w:tcPr>
          <w:p>
            <w:pPr>
              <w:spacing w:line="240" w:lineRule="atLeast"/>
              <w:ind w:firstLine="0" w:firstLineChars="0"/>
              <w:jc w:val="center"/>
              <w:rPr>
                <w:rFonts w:ascii="仿宋"/>
                <w:color w:val="auto"/>
                <w:sz w:val="32"/>
                <w:szCs w:val="32"/>
              </w:rPr>
            </w:pPr>
            <w:r>
              <w:rPr>
                <w:rFonts w:ascii="仿宋" w:hAnsi="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eastAsia" w:ascii="仿宋" w:hAnsi="仿宋" w:eastAsia="仿宋"/>
                <w:color w:val="auto"/>
                <w:sz w:val="32"/>
                <w:szCs w:val="32"/>
                <w:lang w:val="en-US" w:eastAsia="zh-CN"/>
              </w:rPr>
            </w:pPr>
            <w:r>
              <w:rPr>
                <w:rFonts w:hint="eastAsia" w:ascii="仿宋" w:hAnsi="仿宋"/>
                <w:color w:val="auto"/>
                <w:sz w:val="32"/>
                <w:szCs w:val="32"/>
                <w:lang w:val="en-US" w:eastAsia="zh-CN"/>
              </w:rPr>
              <w:t>3</w:t>
            </w:r>
          </w:p>
        </w:tc>
        <w:tc>
          <w:tcPr>
            <w:tcW w:w="1360" w:type="dxa"/>
            <w:vAlign w:val="center"/>
          </w:tcPr>
          <w:p>
            <w:pPr>
              <w:spacing w:line="240" w:lineRule="atLeast"/>
              <w:ind w:firstLine="0" w:firstLineChars="0"/>
              <w:rPr>
                <w:rFonts w:hint="eastAsia" w:ascii="仿宋" w:hAnsi="Calibri" w:eastAsia="仿宋" w:cs="Times New Roman"/>
                <w:color w:val="auto"/>
                <w:kern w:val="2"/>
                <w:sz w:val="32"/>
                <w:szCs w:val="32"/>
                <w:lang w:val="en-US" w:eastAsia="zh-CN" w:bidi="ar-SA"/>
              </w:rPr>
            </w:pPr>
            <w:r>
              <w:rPr>
                <w:rFonts w:hint="eastAsia" w:ascii="仿宋" w:hAnsi="仿宋"/>
                <w:color w:val="auto"/>
                <w:sz w:val="32"/>
                <w:szCs w:val="32"/>
              </w:rPr>
              <w:t>电子商务客服</w:t>
            </w:r>
            <w:r>
              <w:rPr>
                <w:rFonts w:hint="eastAsia" w:ascii="仿宋" w:hAnsi="仿宋"/>
                <w:color w:val="auto"/>
                <w:sz w:val="32"/>
                <w:szCs w:val="32"/>
                <w:lang w:eastAsia="zh-CN"/>
              </w:rPr>
              <w:t>（</w:t>
            </w:r>
            <w:r>
              <w:rPr>
                <w:rFonts w:hint="eastAsia" w:ascii="仿宋" w:hAnsi="仿宋"/>
                <w:color w:val="auto"/>
                <w:sz w:val="32"/>
                <w:szCs w:val="32"/>
                <w:lang w:val="en-US" w:eastAsia="zh-CN"/>
              </w:rPr>
              <w:t>1+X考证方向</w:t>
            </w:r>
            <w:r>
              <w:rPr>
                <w:rFonts w:hint="eastAsia" w:ascii="仿宋" w:hAnsi="仿宋"/>
                <w:color w:val="auto"/>
                <w:sz w:val="32"/>
                <w:szCs w:val="32"/>
                <w:lang w:eastAsia="zh-CN"/>
              </w:rPr>
              <w:t>）</w:t>
            </w:r>
          </w:p>
        </w:tc>
        <w:tc>
          <w:tcPr>
            <w:tcW w:w="5769" w:type="dxa"/>
            <w:vAlign w:val="center"/>
          </w:tcPr>
          <w:p>
            <w:pPr>
              <w:spacing w:line="240" w:lineRule="atLeast"/>
              <w:ind w:firstLine="0" w:firstLineChars="0"/>
              <w:jc w:val="both"/>
              <w:rPr>
                <w:rFonts w:hint="eastAsia" w:ascii="仿宋" w:hAnsi="Calibri" w:eastAsia="仿宋" w:cs="Times New Roman"/>
                <w:color w:val="auto"/>
                <w:kern w:val="2"/>
                <w:sz w:val="32"/>
                <w:szCs w:val="32"/>
                <w:lang w:val="en-US" w:eastAsia="zh-CN" w:bidi="ar-SA"/>
              </w:rPr>
            </w:pPr>
            <w:r>
              <w:rPr>
                <w:rFonts w:hint="default" w:ascii="仿宋"/>
                <w:color w:val="auto"/>
                <w:sz w:val="32"/>
                <w:szCs w:val="32"/>
                <w:lang w:val="en-US" w:eastAsia="zh-CN"/>
              </w:rPr>
              <w:t>掌握呼叫中心客户服务管理的岗位职务、工作标准，能够综合运用所学知识进行呼入业务、呼出业务、投诉业务、及在线客户服务工作。</w:t>
            </w:r>
          </w:p>
        </w:tc>
        <w:tc>
          <w:tcPr>
            <w:tcW w:w="924" w:type="dxa"/>
            <w:vAlign w:val="center"/>
          </w:tcPr>
          <w:p>
            <w:pPr>
              <w:spacing w:line="240" w:lineRule="atLeast"/>
              <w:ind w:firstLine="0" w:firstLineChars="0"/>
              <w:jc w:val="center"/>
              <w:rPr>
                <w:rFonts w:hint="default" w:ascii="仿宋" w:hAnsi="仿宋" w:eastAsia="仿宋"/>
                <w:color w:val="auto"/>
                <w:sz w:val="32"/>
                <w:szCs w:val="32"/>
                <w:lang w:val="en-US" w:eastAsia="zh-CN"/>
              </w:rPr>
            </w:pPr>
            <w:r>
              <w:rPr>
                <w:rFonts w:hint="eastAsia" w:ascii="仿宋" w:hAnsi="仿宋"/>
                <w:color w:val="auto"/>
                <w:sz w:val="32"/>
                <w:szCs w:val="32"/>
                <w:lang w:val="en-US" w:eastAsia="zh-CN"/>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vAlign w:val="center"/>
          </w:tcPr>
          <w:p>
            <w:pPr>
              <w:spacing w:line="240" w:lineRule="atLeast"/>
              <w:ind w:firstLine="0" w:firstLineChars="0"/>
              <w:jc w:val="center"/>
              <w:rPr>
                <w:rFonts w:hint="default" w:ascii="仿宋" w:hAnsi="仿宋"/>
                <w:color w:val="auto"/>
                <w:sz w:val="32"/>
                <w:szCs w:val="32"/>
                <w:lang w:val="en-US" w:eastAsia="zh-CN"/>
              </w:rPr>
            </w:pPr>
            <w:r>
              <w:rPr>
                <w:rFonts w:hint="eastAsia" w:ascii="仿宋" w:hAnsi="仿宋"/>
                <w:color w:val="auto"/>
                <w:sz w:val="32"/>
                <w:szCs w:val="32"/>
                <w:lang w:val="en-US" w:eastAsia="zh-CN"/>
              </w:rPr>
              <w:t>4</w:t>
            </w:r>
          </w:p>
        </w:tc>
        <w:tc>
          <w:tcPr>
            <w:tcW w:w="1360" w:type="dxa"/>
            <w:vAlign w:val="center"/>
          </w:tcPr>
          <w:p>
            <w:pPr>
              <w:spacing w:line="240" w:lineRule="atLeast"/>
              <w:ind w:firstLine="0" w:firstLineChars="0"/>
              <w:rPr>
                <w:rFonts w:hint="eastAsia" w:ascii="仿宋" w:hAnsi="Calibri" w:eastAsia="仿宋" w:cs="Times New Roman"/>
                <w:color w:val="auto"/>
                <w:kern w:val="2"/>
                <w:sz w:val="32"/>
                <w:szCs w:val="32"/>
                <w:lang w:val="en-US" w:eastAsia="zh-CN" w:bidi="ar-SA"/>
              </w:rPr>
            </w:pPr>
            <w:r>
              <w:rPr>
                <w:rFonts w:hint="eastAsia" w:ascii="仿宋" w:hAnsi="仿宋"/>
                <w:color w:val="auto"/>
                <w:sz w:val="32"/>
                <w:szCs w:val="32"/>
              </w:rPr>
              <w:t>消费者心理学</w:t>
            </w:r>
          </w:p>
        </w:tc>
        <w:tc>
          <w:tcPr>
            <w:tcW w:w="5769" w:type="dxa"/>
            <w:vAlign w:val="top"/>
          </w:tcPr>
          <w:p>
            <w:pPr>
              <w:spacing w:line="240" w:lineRule="atLeast"/>
              <w:ind w:firstLine="0" w:firstLineChars="0"/>
              <w:rPr>
                <w:rFonts w:hint="default" w:ascii="仿宋" w:hAnsi="Calibri" w:eastAsia="仿宋" w:cs="Times New Roman"/>
                <w:color w:val="auto"/>
                <w:kern w:val="2"/>
                <w:sz w:val="32"/>
                <w:szCs w:val="32"/>
                <w:lang w:val="en-US" w:eastAsia="zh-CN" w:bidi="ar-SA"/>
              </w:rPr>
            </w:pPr>
            <w:r>
              <w:rPr>
                <w:rFonts w:hint="eastAsia" w:ascii="仿宋" w:hAnsi="仿宋"/>
                <w:color w:val="auto"/>
                <w:sz w:val="32"/>
                <w:szCs w:val="32"/>
              </w:rPr>
              <w:t>通过该学习领域的学习使学生熟练掌握营销活动过程中消费心理的基本内容、方法和工具，使学生具备较高的实践学习能力，同时培养学生形成优秀营销人员所必备的自信心、良好的语言表达能力，并引导学生在系统性思维的基础上，形成一定的发散思维、逆向思维以及创造性思维能力，最终提高营销专业综合应用技能。</w:t>
            </w:r>
          </w:p>
        </w:tc>
        <w:tc>
          <w:tcPr>
            <w:tcW w:w="924" w:type="dxa"/>
            <w:vAlign w:val="center"/>
          </w:tcPr>
          <w:p>
            <w:pPr>
              <w:spacing w:line="240" w:lineRule="atLeast"/>
              <w:ind w:firstLine="0" w:firstLineChars="0"/>
              <w:jc w:val="center"/>
              <w:rPr>
                <w:rFonts w:hint="eastAsia" w:ascii="仿宋" w:hAnsi="Calibri" w:eastAsia="仿宋" w:cs="Times New Roman"/>
                <w:color w:val="auto"/>
                <w:kern w:val="2"/>
                <w:sz w:val="32"/>
                <w:szCs w:val="32"/>
                <w:lang w:val="en-US" w:eastAsia="zh-CN" w:bidi="ar-SA"/>
              </w:rPr>
            </w:pPr>
            <w:r>
              <w:rPr>
                <w:rFonts w:ascii="仿宋" w:hAnsi="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default" w:ascii="仿宋" w:hAnsi="仿宋"/>
                <w:color w:val="auto"/>
                <w:sz w:val="32"/>
                <w:szCs w:val="32"/>
                <w:lang w:val="en-US" w:eastAsia="zh-CN"/>
              </w:rPr>
            </w:pPr>
            <w:r>
              <w:rPr>
                <w:rFonts w:hint="eastAsia" w:ascii="仿宋" w:hAnsi="仿宋"/>
                <w:color w:val="auto"/>
                <w:sz w:val="32"/>
                <w:szCs w:val="32"/>
                <w:lang w:val="en-US" w:eastAsia="zh-CN"/>
              </w:rPr>
              <w:t>5</w:t>
            </w:r>
          </w:p>
        </w:tc>
        <w:tc>
          <w:tcPr>
            <w:tcW w:w="1360" w:type="dxa"/>
            <w:vAlign w:val="center"/>
          </w:tcPr>
          <w:p>
            <w:pPr>
              <w:spacing w:line="240" w:lineRule="atLeast"/>
              <w:ind w:firstLine="0" w:firstLineChars="0"/>
              <w:rPr>
                <w:rFonts w:hint="eastAsia" w:ascii="仿宋" w:hAnsi="仿宋" w:eastAsia="仿宋" w:cs="Times New Roman"/>
                <w:color w:val="auto"/>
                <w:kern w:val="2"/>
                <w:sz w:val="32"/>
                <w:szCs w:val="32"/>
                <w:lang w:val="en-US" w:eastAsia="zh-CN" w:bidi="ar-SA"/>
              </w:rPr>
            </w:pPr>
            <w:r>
              <w:rPr>
                <w:rFonts w:hint="eastAsia" w:ascii="仿宋" w:hAnsi="仿宋"/>
                <w:color w:val="auto"/>
                <w:sz w:val="32"/>
                <w:szCs w:val="32"/>
              </w:rPr>
              <w:t>跨境电子商务</w:t>
            </w:r>
          </w:p>
        </w:tc>
        <w:tc>
          <w:tcPr>
            <w:tcW w:w="5769" w:type="dxa"/>
            <w:vAlign w:val="top"/>
          </w:tcPr>
          <w:p>
            <w:pPr>
              <w:spacing w:line="240" w:lineRule="atLeast"/>
              <w:ind w:firstLine="0" w:firstLineChars="0"/>
              <w:rPr>
                <w:rFonts w:hint="eastAsia" w:ascii="仿宋" w:hAnsi="仿宋" w:eastAsia="仿宋" w:cs="Times New Roman"/>
                <w:color w:val="auto"/>
                <w:kern w:val="2"/>
                <w:sz w:val="32"/>
                <w:szCs w:val="32"/>
                <w:lang w:val="en-US" w:eastAsia="zh-CN" w:bidi="ar-SA"/>
              </w:rPr>
            </w:pPr>
            <w:r>
              <w:rPr>
                <w:rFonts w:hint="eastAsia" w:ascii="仿宋" w:hAnsi="仿宋"/>
                <w:color w:val="auto"/>
                <w:sz w:val="32"/>
                <w:szCs w:val="32"/>
              </w:rPr>
              <w:t>本课程是电子商务基础课程的延伸，以物联网、跨境电商、人工智能等不同电商形态快速发展为背景，系统的介绍跨境电商基本慨念、典型跨境</w:t>
            </w:r>
            <w:r>
              <w:rPr>
                <w:rFonts w:ascii="仿宋" w:hAnsi="仿宋"/>
                <w:color w:val="auto"/>
                <w:sz w:val="32"/>
                <w:szCs w:val="32"/>
              </w:rPr>
              <w:t>B2B</w:t>
            </w:r>
            <w:r>
              <w:rPr>
                <w:rFonts w:hint="eastAsia" w:ascii="仿宋" w:hAnsi="仿宋"/>
                <w:color w:val="auto"/>
                <w:sz w:val="32"/>
                <w:szCs w:val="32"/>
              </w:rPr>
              <w:t>平台、跨境</w:t>
            </w:r>
            <w:r>
              <w:rPr>
                <w:rFonts w:ascii="仿宋" w:hAnsi="仿宋"/>
                <w:color w:val="auto"/>
                <w:sz w:val="32"/>
                <w:szCs w:val="32"/>
              </w:rPr>
              <w:t>B2C</w:t>
            </w:r>
            <w:r>
              <w:rPr>
                <w:rFonts w:hint="eastAsia" w:ascii="仿宋" w:hAnsi="仿宋"/>
                <w:color w:val="auto"/>
                <w:sz w:val="32"/>
                <w:szCs w:val="32"/>
              </w:rPr>
              <w:t>平台、跨境电商从业基本技能、跨境电商风险控制等基础知识。</w:t>
            </w:r>
          </w:p>
        </w:tc>
        <w:tc>
          <w:tcPr>
            <w:tcW w:w="924" w:type="dxa"/>
            <w:vAlign w:val="center"/>
          </w:tcPr>
          <w:p>
            <w:pPr>
              <w:spacing w:line="240" w:lineRule="atLeast"/>
              <w:ind w:firstLine="0" w:firstLineChars="0"/>
              <w:jc w:val="center"/>
              <w:rPr>
                <w:rFonts w:ascii="仿宋" w:hAnsi="仿宋" w:eastAsia="仿宋" w:cs="Times New Roman"/>
                <w:color w:val="auto"/>
                <w:kern w:val="2"/>
                <w:sz w:val="32"/>
                <w:szCs w:val="32"/>
                <w:lang w:val="en-US" w:eastAsia="zh-CN" w:bidi="ar-SA"/>
              </w:rPr>
            </w:pPr>
            <w:r>
              <w:rPr>
                <w:rFonts w:hint="eastAsia" w:ascii="仿宋" w:hAnsi="仿宋"/>
                <w:color w:val="auto"/>
                <w:sz w:val="32"/>
                <w:szCs w:val="32"/>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default" w:ascii="仿宋" w:hAnsi="仿宋"/>
                <w:color w:val="auto"/>
                <w:sz w:val="32"/>
                <w:szCs w:val="32"/>
                <w:lang w:val="en-US" w:eastAsia="zh-CN"/>
              </w:rPr>
            </w:pPr>
            <w:r>
              <w:rPr>
                <w:rFonts w:hint="eastAsia" w:ascii="仿宋" w:hAnsi="仿宋"/>
                <w:color w:val="auto"/>
                <w:sz w:val="32"/>
                <w:szCs w:val="32"/>
                <w:lang w:val="en-US" w:eastAsia="zh-CN"/>
              </w:rPr>
              <w:t>6</w:t>
            </w:r>
          </w:p>
        </w:tc>
        <w:tc>
          <w:tcPr>
            <w:tcW w:w="1360" w:type="dxa"/>
            <w:vAlign w:val="center"/>
          </w:tcPr>
          <w:p>
            <w:pPr>
              <w:spacing w:line="240" w:lineRule="atLeast"/>
              <w:ind w:firstLine="0" w:firstLineChars="0"/>
              <w:rPr>
                <w:rFonts w:hint="eastAsia" w:ascii="仿宋" w:hAnsi="Calibri" w:eastAsia="仿宋" w:cs="Times New Roman"/>
                <w:color w:val="auto"/>
                <w:kern w:val="2"/>
                <w:sz w:val="32"/>
                <w:szCs w:val="32"/>
                <w:lang w:val="en-US" w:eastAsia="zh-CN" w:bidi="ar-SA"/>
              </w:rPr>
            </w:pPr>
            <w:r>
              <w:rPr>
                <w:rFonts w:hint="eastAsia" w:ascii="仿宋" w:hAnsi="仿宋"/>
                <w:color w:val="auto"/>
                <w:sz w:val="32"/>
                <w:szCs w:val="32"/>
              </w:rPr>
              <w:t>商品拍摄技术</w:t>
            </w:r>
          </w:p>
        </w:tc>
        <w:tc>
          <w:tcPr>
            <w:tcW w:w="5769" w:type="dxa"/>
            <w:vAlign w:val="top"/>
          </w:tcPr>
          <w:p>
            <w:pPr>
              <w:spacing w:line="240" w:lineRule="atLeast"/>
              <w:ind w:firstLine="0" w:firstLineChars="0"/>
              <w:rPr>
                <w:rFonts w:hint="eastAsia" w:ascii="仿宋" w:hAnsi="Calibri" w:eastAsia="仿宋" w:cs="Times New Roman"/>
                <w:color w:val="auto"/>
                <w:kern w:val="2"/>
                <w:sz w:val="32"/>
                <w:szCs w:val="32"/>
                <w:lang w:val="en-US" w:eastAsia="zh-CN" w:bidi="ar-SA"/>
              </w:rPr>
            </w:pPr>
            <w:r>
              <w:rPr>
                <w:rFonts w:hint="eastAsia" w:ascii="仿宋" w:hAnsi="仿宋"/>
                <w:color w:val="auto"/>
                <w:sz w:val="32"/>
                <w:szCs w:val="32"/>
              </w:rPr>
              <w:t>本课程是中等职业学校电子商务专业学生必修的一门技能方向课程，其任务是使学生掌握商品拍摄的基本方法，能熟练进行商品图片拍摄，并能运用相关计算机软件对商品图片进行美化处理。</w:t>
            </w:r>
          </w:p>
        </w:tc>
        <w:tc>
          <w:tcPr>
            <w:tcW w:w="924" w:type="dxa"/>
            <w:vAlign w:val="center"/>
          </w:tcPr>
          <w:p>
            <w:pPr>
              <w:spacing w:line="240" w:lineRule="atLeast"/>
              <w:ind w:firstLine="0" w:firstLineChars="0"/>
              <w:jc w:val="center"/>
              <w:rPr>
                <w:rFonts w:hint="default" w:ascii="仿宋" w:hAnsi="Calibri" w:eastAsia="仿宋" w:cs="Times New Roman"/>
                <w:color w:val="auto"/>
                <w:kern w:val="2"/>
                <w:sz w:val="32"/>
                <w:szCs w:val="32"/>
                <w:lang w:val="en-US" w:eastAsia="zh-CN" w:bidi="ar-SA"/>
              </w:rPr>
            </w:pPr>
            <w:r>
              <w:rPr>
                <w:rFonts w:hint="eastAsia" w:ascii="仿宋" w:hAnsi="仿宋"/>
                <w:color w:val="auto"/>
                <w:sz w:val="32"/>
                <w:szCs w:val="32"/>
                <w:lang w:val="en-US" w:eastAsia="zh-CN"/>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default" w:ascii="仿宋" w:hAnsi="仿宋"/>
                <w:color w:val="auto"/>
                <w:sz w:val="32"/>
                <w:szCs w:val="32"/>
                <w:lang w:val="en-US" w:eastAsia="zh-CN"/>
              </w:rPr>
            </w:pPr>
            <w:r>
              <w:rPr>
                <w:rFonts w:hint="eastAsia" w:ascii="仿宋" w:hAnsi="仿宋"/>
                <w:color w:val="auto"/>
                <w:sz w:val="32"/>
                <w:szCs w:val="32"/>
                <w:lang w:val="en-US" w:eastAsia="zh-CN"/>
              </w:rPr>
              <w:t>7</w:t>
            </w:r>
          </w:p>
        </w:tc>
        <w:tc>
          <w:tcPr>
            <w:tcW w:w="1360" w:type="dxa"/>
            <w:vAlign w:val="center"/>
          </w:tcPr>
          <w:p>
            <w:pPr>
              <w:spacing w:line="240" w:lineRule="atLeast"/>
              <w:ind w:firstLine="0" w:firstLineChars="0"/>
              <w:rPr>
                <w:rFonts w:hint="eastAsia" w:ascii="仿宋" w:hAnsi="Calibri" w:eastAsia="仿宋" w:cs="Times New Roman"/>
                <w:color w:val="auto"/>
                <w:kern w:val="2"/>
                <w:sz w:val="32"/>
                <w:szCs w:val="32"/>
                <w:lang w:val="en-US" w:eastAsia="zh-CN" w:bidi="ar-SA"/>
              </w:rPr>
            </w:pPr>
            <w:r>
              <w:rPr>
                <w:rFonts w:hint="eastAsia" w:ascii="仿宋" w:hAnsi="仿宋"/>
                <w:color w:val="auto"/>
                <w:sz w:val="32"/>
                <w:szCs w:val="32"/>
                <w:lang w:eastAsia="zh-CN"/>
              </w:rPr>
              <w:t>电子商务</w:t>
            </w:r>
            <w:r>
              <w:rPr>
                <w:rFonts w:hint="eastAsia" w:ascii="仿宋" w:hAnsi="仿宋"/>
                <w:color w:val="auto"/>
                <w:sz w:val="32"/>
                <w:szCs w:val="32"/>
              </w:rPr>
              <w:t>文案</w:t>
            </w:r>
          </w:p>
        </w:tc>
        <w:tc>
          <w:tcPr>
            <w:tcW w:w="5769" w:type="dxa"/>
            <w:vAlign w:val="top"/>
          </w:tcPr>
          <w:p>
            <w:pPr>
              <w:spacing w:line="240" w:lineRule="atLeast"/>
              <w:ind w:firstLine="0" w:firstLineChars="0"/>
              <w:rPr>
                <w:rFonts w:hint="eastAsia" w:ascii="仿宋" w:hAnsi="Calibri" w:eastAsia="仿宋" w:cs="Times New Roman"/>
                <w:color w:val="auto"/>
                <w:kern w:val="2"/>
                <w:sz w:val="32"/>
                <w:szCs w:val="32"/>
                <w:lang w:val="en-US" w:eastAsia="zh-CN" w:bidi="ar-SA"/>
              </w:rPr>
            </w:pPr>
            <w:r>
              <w:rPr>
                <w:rFonts w:hint="eastAsia" w:ascii="仿宋" w:hAnsi="仿宋"/>
                <w:color w:val="auto"/>
                <w:sz w:val="32"/>
                <w:szCs w:val="32"/>
              </w:rPr>
              <w:t>通过课程的学习，以培养学生营销意识，掌握策划知识；从营销的角度，培养学生网站策划、网络营销策划以及传统营销策划的能力；提高学生的策划素质和营销文案的写作能力。</w:t>
            </w:r>
          </w:p>
        </w:tc>
        <w:tc>
          <w:tcPr>
            <w:tcW w:w="924" w:type="dxa"/>
            <w:vAlign w:val="center"/>
          </w:tcPr>
          <w:p>
            <w:pPr>
              <w:spacing w:line="240" w:lineRule="atLeast"/>
              <w:ind w:firstLine="0" w:firstLineChars="0"/>
              <w:jc w:val="center"/>
              <w:rPr>
                <w:rFonts w:hint="default" w:ascii="仿宋" w:hAnsi="仿宋"/>
                <w:color w:val="auto"/>
                <w:sz w:val="32"/>
                <w:szCs w:val="32"/>
                <w:lang w:val="en-US" w:eastAsia="zh-CN"/>
              </w:rPr>
            </w:pPr>
            <w:r>
              <w:rPr>
                <w:rFonts w:hint="eastAsia" w:ascii="仿宋" w:hAnsi="仿宋"/>
                <w:color w:val="auto"/>
                <w:sz w:val="32"/>
                <w:szCs w:val="32"/>
                <w:lang w:val="en-US" w:eastAsia="zh-CN"/>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eastAsia" w:ascii="仿宋" w:hAnsi="Calibri" w:eastAsia="仿宋" w:cs="Times New Roman"/>
                <w:color w:val="auto"/>
                <w:kern w:val="2"/>
                <w:sz w:val="32"/>
                <w:szCs w:val="32"/>
                <w:lang w:val="en-US" w:eastAsia="zh-CN" w:bidi="ar-SA"/>
              </w:rPr>
            </w:pPr>
            <w:r>
              <w:rPr>
                <w:rFonts w:hint="eastAsia" w:ascii="仿宋" w:hAnsi="仿宋"/>
                <w:color w:val="auto"/>
                <w:sz w:val="32"/>
                <w:szCs w:val="32"/>
                <w:lang w:val="en-US" w:eastAsia="zh-CN"/>
              </w:rPr>
              <w:t>8</w:t>
            </w:r>
          </w:p>
        </w:tc>
        <w:tc>
          <w:tcPr>
            <w:tcW w:w="1360" w:type="dxa"/>
            <w:vAlign w:val="center"/>
          </w:tcPr>
          <w:p>
            <w:pPr>
              <w:spacing w:line="240" w:lineRule="atLeast"/>
              <w:ind w:firstLine="0" w:firstLineChars="0"/>
              <w:rPr>
                <w:rFonts w:hint="eastAsia" w:ascii="仿宋" w:hAnsi="Calibri" w:eastAsia="仿宋" w:cs="Times New Roman"/>
                <w:color w:val="auto"/>
                <w:kern w:val="2"/>
                <w:sz w:val="32"/>
                <w:szCs w:val="32"/>
                <w:lang w:val="en-US" w:eastAsia="zh-CN" w:bidi="ar-SA"/>
              </w:rPr>
            </w:pPr>
            <w:r>
              <w:rPr>
                <w:rFonts w:hint="eastAsia" w:ascii="仿宋" w:cs="Times New Roman"/>
                <w:color w:val="auto"/>
                <w:kern w:val="2"/>
                <w:sz w:val="32"/>
                <w:szCs w:val="32"/>
                <w:lang w:val="en-US" w:eastAsia="zh-CN" w:bidi="ar-SA"/>
              </w:rPr>
              <w:t>企业沙盘</w:t>
            </w:r>
          </w:p>
        </w:tc>
        <w:tc>
          <w:tcPr>
            <w:tcW w:w="5769" w:type="dxa"/>
            <w:vAlign w:val="top"/>
          </w:tcPr>
          <w:p>
            <w:pPr>
              <w:spacing w:line="240" w:lineRule="atLeast"/>
              <w:ind w:firstLine="0" w:firstLineChars="0"/>
              <w:rPr>
                <w:rFonts w:hint="eastAsia" w:ascii="仿宋" w:hAnsi="Calibri" w:eastAsia="仿宋" w:cs="Times New Roman"/>
                <w:color w:val="auto"/>
                <w:kern w:val="2"/>
                <w:sz w:val="32"/>
                <w:szCs w:val="32"/>
                <w:lang w:val="en-US" w:eastAsia="zh-CN" w:bidi="ar-SA"/>
              </w:rPr>
            </w:pPr>
            <w:r>
              <w:rPr>
                <w:rFonts w:hint="eastAsia" w:ascii="仿宋" w:hAnsi="仿宋"/>
                <w:color w:val="auto"/>
                <w:sz w:val="32"/>
                <w:szCs w:val="32"/>
              </w:rPr>
              <w:t>本课程通过学生实验和实战演练全面地体验了财务经理、运营经理、市场经理、销售经理、人力资源经理、研发经理等角色职能，提高企业运营能力，洞悉企业成功的重要因素，了解企业战略与经营应如何密切配合，学会提升企业的运营效率，以及创造价值的能力，掌握衡量企业运营状况的指标与方法，并能在企业的战略与运营中不断创新。</w:t>
            </w:r>
          </w:p>
        </w:tc>
        <w:tc>
          <w:tcPr>
            <w:tcW w:w="924" w:type="dxa"/>
            <w:vAlign w:val="center"/>
          </w:tcPr>
          <w:p>
            <w:pPr>
              <w:spacing w:line="240" w:lineRule="atLeast"/>
              <w:ind w:firstLine="0" w:firstLineChars="0"/>
              <w:jc w:val="center"/>
              <w:rPr>
                <w:rFonts w:hint="default" w:ascii="仿宋" w:hAnsi="仿宋" w:eastAsia="仿宋" w:cs="Times New Roman"/>
                <w:color w:val="auto"/>
                <w:kern w:val="2"/>
                <w:sz w:val="32"/>
                <w:szCs w:val="32"/>
                <w:lang w:val="en-US" w:eastAsia="zh-CN" w:bidi="ar-SA"/>
              </w:rPr>
            </w:pPr>
            <w:r>
              <w:rPr>
                <w:rFonts w:hint="eastAsia" w:ascii="仿宋" w:hAnsi="仿宋"/>
                <w:color w:val="auto"/>
                <w:sz w:val="32"/>
                <w:szCs w:val="32"/>
                <w:lang w:val="en-US" w:eastAsia="zh-CN"/>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eastAsia" w:ascii="仿宋" w:eastAsia="仿宋"/>
                <w:color w:val="auto"/>
                <w:sz w:val="32"/>
                <w:szCs w:val="32"/>
                <w:lang w:eastAsia="zh-CN"/>
              </w:rPr>
            </w:pPr>
            <w:r>
              <w:rPr>
                <w:rFonts w:hint="eastAsia" w:ascii="仿宋" w:hAnsi="仿宋"/>
                <w:color w:val="auto"/>
                <w:sz w:val="32"/>
                <w:szCs w:val="32"/>
                <w:lang w:val="en-US" w:eastAsia="zh-CN"/>
              </w:rPr>
              <w:t>9</w:t>
            </w:r>
          </w:p>
        </w:tc>
        <w:tc>
          <w:tcPr>
            <w:tcW w:w="1360" w:type="dxa"/>
            <w:vAlign w:val="center"/>
          </w:tcPr>
          <w:p>
            <w:pPr>
              <w:spacing w:line="240" w:lineRule="atLeast"/>
              <w:ind w:firstLine="0" w:firstLineChars="0"/>
              <w:rPr>
                <w:rFonts w:ascii="仿宋"/>
                <w:color w:val="auto"/>
                <w:sz w:val="32"/>
                <w:szCs w:val="32"/>
              </w:rPr>
            </w:pPr>
            <w:r>
              <w:rPr>
                <w:rFonts w:hint="eastAsia" w:ascii="仿宋" w:hAnsi="仿宋"/>
                <w:color w:val="auto"/>
                <w:sz w:val="32"/>
                <w:szCs w:val="32"/>
              </w:rPr>
              <w:t>电子商务物流</w:t>
            </w:r>
          </w:p>
        </w:tc>
        <w:tc>
          <w:tcPr>
            <w:tcW w:w="5769" w:type="dxa"/>
          </w:tcPr>
          <w:p>
            <w:pPr>
              <w:spacing w:line="240" w:lineRule="atLeast"/>
              <w:ind w:firstLine="0" w:firstLineChars="0"/>
              <w:rPr>
                <w:rFonts w:ascii="仿宋"/>
                <w:color w:val="auto"/>
                <w:sz w:val="32"/>
                <w:szCs w:val="32"/>
              </w:rPr>
            </w:pPr>
            <w:r>
              <w:rPr>
                <w:rFonts w:hint="eastAsia" w:ascii="仿宋" w:hAnsi="仿宋"/>
                <w:color w:val="auto"/>
                <w:sz w:val="32"/>
                <w:szCs w:val="32"/>
              </w:rPr>
              <w:t>电子商务物流是本专业的选修课程，主要内容包括物流的概念、物流的功能与目标、物流与生产及其他流通活动的关系、物流合理化方法、影响电子商务物流系统的因素、电子商务物流系统的建立模式等内容。其任务是以物流管理、客户服务等职业岗位业务处理能力培养为重点，培养学生在电子商务物流方面的实际应用能力，养成基本的物流职业素养，为将来从事电子商务物流工作奠定坚实的基础。</w:t>
            </w:r>
          </w:p>
        </w:tc>
        <w:tc>
          <w:tcPr>
            <w:tcW w:w="924" w:type="dxa"/>
            <w:vAlign w:val="center"/>
          </w:tcPr>
          <w:p>
            <w:pPr>
              <w:spacing w:line="240" w:lineRule="atLeast"/>
              <w:ind w:firstLine="0" w:firstLineChars="0"/>
              <w:jc w:val="center"/>
              <w:rPr>
                <w:rFonts w:ascii="仿宋"/>
                <w:color w:val="auto"/>
                <w:sz w:val="32"/>
                <w:szCs w:val="32"/>
              </w:rPr>
            </w:pPr>
            <w:r>
              <w:rPr>
                <w:rFonts w:ascii="仿宋" w:hAnsi="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08" w:type="dxa"/>
            <w:vAlign w:val="center"/>
          </w:tcPr>
          <w:p>
            <w:pPr>
              <w:spacing w:line="240" w:lineRule="atLeast"/>
              <w:ind w:firstLine="0" w:firstLineChars="0"/>
              <w:jc w:val="center"/>
              <w:rPr>
                <w:rFonts w:hint="default" w:ascii="仿宋" w:eastAsia="仿宋"/>
                <w:color w:val="auto"/>
                <w:sz w:val="32"/>
                <w:szCs w:val="32"/>
                <w:lang w:val="en-US" w:eastAsia="zh-CN"/>
              </w:rPr>
            </w:pPr>
            <w:r>
              <w:rPr>
                <w:rFonts w:hint="eastAsia" w:ascii="仿宋" w:hAnsi="仿宋"/>
                <w:color w:val="auto"/>
                <w:sz w:val="32"/>
                <w:szCs w:val="32"/>
                <w:lang w:val="en-US" w:eastAsia="zh-CN"/>
              </w:rPr>
              <w:t>10</w:t>
            </w:r>
          </w:p>
        </w:tc>
        <w:tc>
          <w:tcPr>
            <w:tcW w:w="1360" w:type="dxa"/>
            <w:vAlign w:val="center"/>
          </w:tcPr>
          <w:p>
            <w:pPr>
              <w:spacing w:line="240" w:lineRule="atLeast"/>
              <w:ind w:firstLine="0" w:firstLineChars="0"/>
              <w:rPr>
                <w:rFonts w:ascii="仿宋"/>
                <w:color w:val="auto"/>
                <w:sz w:val="32"/>
                <w:szCs w:val="32"/>
              </w:rPr>
            </w:pPr>
            <w:r>
              <w:rPr>
                <w:rFonts w:hint="eastAsia" w:ascii="仿宋" w:hAnsi="仿宋"/>
                <w:color w:val="auto"/>
                <w:sz w:val="32"/>
                <w:szCs w:val="32"/>
              </w:rPr>
              <w:t>营销与口才</w:t>
            </w:r>
          </w:p>
        </w:tc>
        <w:tc>
          <w:tcPr>
            <w:tcW w:w="5769" w:type="dxa"/>
          </w:tcPr>
          <w:p>
            <w:pPr>
              <w:spacing w:line="240" w:lineRule="atLeast"/>
              <w:ind w:firstLine="0" w:firstLineChars="0"/>
              <w:rPr>
                <w:rFonts w:ascii="仿宋"/>
                <w:color w:val="auto"/>
                <w:sz w:val="32"/>
                <w:szCs w:val="32"/>
              </w:rPr>
            </w:pPr>
            <w:r>
              <w:rPr>
                <w:rFonts w:hint="eastAsia" w:ascii="仿宋" w:hAnsi="仿宋"/>
                <w:color w:val="auto"/>
                <w:sz w:val="32"/>
                <w:szCs w:val="32"/>
              </w:rPr>
              <w:t>该课程是电子商务专业的选修课程，其目的是让学生了解成功营销人员的基本特征，掌握营销人员在各种场合的语言技巧，从而增强自信心，树立远大的目标</w:t>
            </w:r>
            <w:r>
              <w:rPr>
                <w:rFonts w:ascii="仿宋"/>
                <w:color w:val="auto"/>
                <w:sz w:val="32"/>
                <w:szCs w:val="32"/>
              </w:rPr>
              <w:t>,</w:t>
            </w:r>
            <w:r>
              <w:rPr>
                <w:rFonts w:hint="eastAsia" w:ascii="仿宋" w:hAnsi="仿宋"/>
                <w:color w:val="auto"/>
                <w:sz w:val="32"/>
                <w:szCs w:val="32"/>
              </w:rPr>
              <w:t>更好的做好人生的职业生涯规划。</w:t>
            </w:r>
          </w:p>
        </w:tc>
        <w:tc>
          <w:tcPr>
            <w:tcW w:w="924" w:type="dxa"/>
            <w:vAlign w:val="center"/>
          </w:tcPr>
          <w:p>
            <w:pPr>
              <w:spacing w:line="240" w:lineRule="atLeast"/>
              <w:ind w:firstLine="0" w:firstLineChars="0"/>
              <w:jc w:val="center"/>
              <w:rPr>
                <w:rFonts w:ascii="仿宋"/>
                <w:color w:val="auto"/>
                <w:sz w:val="32"/>
                <w:szCs w:val="32"/>
              </w:rPr>
            </w:pPr>
            <w:r>
              <w:rPr>
                <w:rFonts w:ascii="仿宋" w:hAnsi="仿宋"/>
                <w:color w:val="auto"/>
                <w:sz w:val="32"/>
                <w:szCs w:val="32"/>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137" w:type="dxa"/>
            <w:gridSpan w:val="3"/>
            <w:vAlign w:val="center"/>
          </w:tcPr>
          <w:p>
            <w:pPr>
              <w:spacing w:line="240" w:lineRule="atLeast"/>
              <w:ind w:firstLine="0" w:firstLineChars="0"/>
              <w:jc w:val="center"/>
              <w:rPr>
                <w:rFonts w:ascii="仿宋"/>
                <w:color w:val="auto"/>
                <w:sz w:val="32"/>
                <w:szCs w:val="32"/>
              </w:rPr>
            </w:pPr>
            <w:r>
              <w:rPr>
                <w:rFonts w:hint="eastAsia" w:ascii="仿宋" w:hAnsi="仿宋"/>
                <w:color w:val="auto"/>
                <w:sz w:val="32"/>
                <w:szCs w:val="32"/>
              </w:rPr>
              <w:t>合计</w:t>
            </w:r>
          </w:p>
        </w:tc>
        <w:tc>
          <w:tcPr>
            <w:tcW w:w="924" w:type="dxa"/>
            <w:vAlign w:val="center"/>
          </w:tcPr>
          <w:p>
            <w:pPr>
              <w:spacing w:line="240" w:lineRule="atLeast"/>
              <w:ind w:firstLine="0" w:firstLineChars="0"/>
              <w:jc w:val="center"/>
              <w:rPr>
                <w:rFonts w:hint="default" w:ascii="仿宋" w:eastAsia="仿宋"/>
                <w:color w:val="auto"/>
                <w:sz w:val="32"/>
                <w:szCs w:val="32"/>
                <w:lang w:val="en-US" w:eastAsia="zh-CN"/>
              </w:rPr>
            </w:pPr>
            <w:r>
              <w:rPr>
                <w:rFonts w:hint="eastAsia" w:ascii="仿宋" w:hAnsi="仿宋"/>
                <w:color w:val="auto"/>
                <w:sz w:val="32"/>
                <w:szCs w:val="32"/>
                <w:lang w:val="en-US" w:eastAsia="zh-CN"/>
              </w:rPr>
              <w:t>504</w:t>
            </w:r>
          </w:p>
        </w:tc>
      </w:tr>
    </w:tbl>
    <w:p>
      <w:pPr>
        <w:ind w:firstLine="643"/>
        <w:outlineLvl w:val="9"/>
        <w:rPr>
          <w:rFonts w:hint="eastAsia" w:ascii="仿宋" w:hAnsi="仿宋" w:eastAsia="仿宋" w:cs="仿宋"/>
          <w:color w:val="auto"/>
        </w:rPr>
      </w:pPr>
    </w:p>
    <w:p>
      <w:pPr>
        <w:pStyle w:val="4"/>
        <w:ind w:firstLine="643"/>
        <w:outlineLvl w:val="2"/>
        <w:rPr>
          <w:rFonts w:hint="eastAsia" w:ascii="仿宋" w:hAnsi="仿宋" w:eastAsia="仿宋" w:cs="仿宋"/>
          <w:color w:val="auto"/>
        </w:rPr>
      </w:pPr>
      <w:r>
        <w:rPr>
          <w:rFonts w:hint="eastAsia" w:ascii="仿宋" w:hAnsi="仿宋" w:eastAsia="仿宋" w:cs="仿宋"/>
          <w:color w:val="auto"/>
        </w:rPr>
        <w:t>4.顶岗实习</w:t>
      </w:r>
    </w:p>
    <w:p>
      <w:pPr>
        <w:ind w:firstLine="640"/>
        <w:rPr>
          <w:color w:val="auto"/>
        </w:rPr>
      </w:pPr>
      <w:r>
        <w:rPr>
          <w:rFonts w:hint="eastAsia"/>
          <w:color w:val="auto"/>
        </w:rPr>
        <w:t>通过顶岗实习，锻炼学生发挥专业特长解决工作实际问题的能力，使学生能够有机会将理论与实践进行有机结合，全面提高自身能力。学生提前到岗位上去真刀真枪的工作，有效实现学校与社会的“零距离接触”，既能锻炼提高学生的职业技能，又能培养学生吃苦耐劳精神，使学生就业竞争力得以提高。</w:t>
      </w:r>
    </w:p>
    <w:p>
      <w:pPr>
        <w:pStyle w:val="2"/>
        <w:keepNext/>
        <w:keepLines/>
        <w:pageBreakBefore w:val="0"/>
        <w:widowControl w:val="0"/>
        <w:kinsoku/>
        <w:wordWrap/>
        <w:overflowPunct/>
        <w:topLinePunct w:val="0"/>
        <w:autoSpaceDE/>
        <w:autoSpaceDN/>
        <w:bidi w:val="0"/>
        <w:adjustRightInd/>
        <w:snapToGrid/>
        <w:spacing w:before="156" w:beforeLines="50" w:line="240" w:lineRule="atLeast"/>
        <w:ind w:firstLine="707" w:firstLineChars="220"/>
        <w:textAlignment w:val="auto"/>
        <w:rPr>
          <w:rFonts w:hint="eastAsia" w:ascii="Calibri" w:hAnsi="Calibri"/>
          <w:color w:val="auto"/>
        </w:rPr>
      </w:pPr>
      <w:r>
        <w:rPr>
          <w:rFonts w:hint="eastAsia" w:ascii="Calibri" w:hAnsi="Calibri"/>
          <w:color w:val="auto"/>
        </w:rPr>
        <w:t>七、学时安排</w:t>
      </w:r>
    </w:p>
    <w:p>
      <w:pPr>
        <w:ind w:firstLine="640" w:firstLineChars="200"/>
        <w:rPr>
          <w:rFonts w:ascii="仿宋" w:hAnsi="仿宋" w:eastAsia="仿宋"/>
          <w:color w:val="auto"/>
          <w:sz w:val="32"/>
          <w:szCs w:val="22"/>
        </w:rPr>
      </w:pPr>
      <w:r>
        <w:rPr>
          <w:rFonts w:hint="eastAsia" w:ascii="仿宋" w:hAnsi="仿宋" w:eastAsia="仿宋"/>
          <w:color w:val="auto"/>
          <w:sz w:val="32"/>
          <w:szCs w:val="22"/>
        </w:rPr>
        <w:t>学时安排。每学年教学时间不少于</w:t>
      </w:r>
      <w:r>
        <w:rPr>
          <w:rFonts w:ascii="仿宋" w:hAnsi="仿宋" w:eastAsia="仿宋"/>
          <w:color w:val="auto"/>
          <w:sz w:val="32"/>
          <w:szCs w:val="22"/>
        </w:rPr>
        <w:t>40</w:t>
      </w:r>
      <w:r>
        <w:rPr>
          <w:rFonts w:hint="eastAsia" w:ascii="仿宋" w:hAnsi="仿宋" w:eastAsia="仿宋"/>
          <w:color w:val="auto"/>
          <w:sz w:val="32"/>
          <w:szCs w:val="22"/>
        </w:rPr>
        <w:t>周（含复习考试），周学时一般为</w:t>
      </w:r>
      <w:r>
        <w:rPr>
          <w:rFonts w:ascii="仿宋" w:hAnsi="仿宋" w:eastAsia="仿宋"/>
          <w:color w:val="auto"/>
          <w:sz w:val="32"/>
          <w:szCs w:val="22"/>
        </w:rPr>
        <w:t>32</w:t>
      </w:r>
      <w:r>
        <w:rPr>
          <w:rFonts w:hint="eastAsia" w:ascii="仿宋" w:hAnsi="仿宋" w:eastAsia="仿宋"/>
          <w:color w:val="auto"/>
          <w:sz w:val="32"/>
          <w:szCs w:val="22"/>
        </w:rPr>
        <w:t>，每学时不少于40分钟。三年总学时数约为</w:t>
      </w:r>
      <w:r>
        <w:rPr>
          <w:rFonts w:ascii="仿宋" w:hAnsi="仿宋" w:eastAsia="仿宋"/>
          <w:color w:val="auto"/>
          <w:sz w:val="32"/>
          <w:szCs w:val="22"/>
        </w:rPr>
        <w:t>3000</w:t>
      </w:r>
      <w:r>
        <w:rPr>
          <w:rFonts w:hint="eastAsia" w:ascii="仿宋" w:hAnsi="仿宋" w:eastAsia="仿宋"/>
          <w:color w:val="auto"/>
          <w:sz w:val="32"/>
          <w:szCs w:val="22"/>
        </w:rPr>
        <w:t>－</w:t>
      </w:r>
      <w:r>
        <w:rPr>
          <w:rFonts w:ascii="仿宋" w:hAnsi="仿宋" w:eastAsia="仿宋"/>
          <w:color w:val="auto"/>
          <w:sz w:val="32"/>
          <w:szCs w:val="22"/>
        </w:rPr>
        <w:t>3</w:t>
      </w:r>
      <w:r>
        <w:rPr>
          <w:rFonts w:hint="eastAsia" w:ascii="仿宋" w:hAnsi="仿宋" w:eastAsia="仿宋"/>
          <w:color w:val="auto"/>
          <w:sz w:val="32"/>
          <w:szCs w:val="22"/>
        </w:rPr>
        <w:t>4</w:t>
      </w:r>
      <w:r>
        <w:rPr>
          <w:rFonts w:ascii="仿宋" w:hAnsi="仿宋" w:eastAsia="仿宋"/>
          <w:color w:val="auto"/>
          <w:sz w:val="32"/>
          <w:szCs w:val="22"/>
        </w:rPr>
        <w:t>00</w:t>
      </w:r>
      <w:r>
        <w:rPr>
          <w:rFonts w:hint="eastAsia" w:ascii="仿宋" w:hAnsi="仿宋" w:eastAsia="仿宋"/>
          <w:color w:val="auto"/>
          <w:sz w:val="32"/>
          <w:szCs w:val="22"/>
        </w:rPr>
        <w:t>，跟岗实习、顶岗实习一般按每周</w:t>
      </w:r>
      <w:r>
        <w:rPr>
          <w:rFonts w:ascii="仿宋" w:hAnsi="仿宋" w:eastAsia="仿宋"/>
          <w:color w:val="auto"/>
          <w:sz w:val="32"/>
          <w:szCs w:val="22"/>
        </w:rPr>
        <w:t>30</w:t>
      </w:r>
      <w:r>
        <w:rPr>
          <w:rFonts w:hint="eastAsia" w:ascii="仿宋" w:hAnsi="仿宋" w:eastAsia="仿宋"/>
          <w:color w:val="auto"/>
          <w:sz w:val="32"/>
          <w:szCs w:val="22"/>
        </w:rPr>
        <w:t>小时（</w:t>
      </w:r>
      <w:r>
        <w:rPr>
          <w:rFonts w:ascii="仿宋" w:hAnsi="仿宋" w:eastAsia="仿宋"/>
          <w:color w:val="auto"/>
          <w:sz w:val="32"/>
          <w:szCs w:val="22"/>
        </w:rPr>
        <w:t>1</w:t>
      </w:r>
      <w:r>
        <w:rPr>
          <w:rFonts w:hint="eastAsia" w:ascii="仿宋" w:hAnsi="仿宋" w:eastAsia="仿宋"/>
          <w:color w:val="auto"/>
          <w:sz w:val="32"/>
          <w:szCs w:val="22"/>
        </w:rPr>
        <w:t>小时折</w:t>
      </w:r>
      <w:r>
        <w:rPr>
          <w:rFonts w:ascii="仿宋" w:hAnsi="仿宋" w:eastAsia="仿宋"/>
          <w:color w:val="auto"/>
          <w:sz w:val="32"/>
          <w:szCs w:val="22"/>
        </w:rPr>
        <w:t>1</w:t>
      </w:r>
      <w:r>
        <w:rPr>
          <w:rFonts w:hint="eastAsia" w:ascii="仿宋" w:hAnsi="仿宋" w:eastAsia="仿宋"/>
          <w:color w:val="auto"/>
          <w:sz w:val="32"/>
          <w:szCs w:val="22"/>
        </w:rPr>
        <w:t>学时）安排。</w:t>
      </w:r>
    </w:p>
    <w:p>
      <w:pPr>
        <w:ind w:firstLine="640"/>
        <w:rPr>
          <w:color w:val="auto"/>
        </w:rPr>
      </w:pPr>
      <w:r>
        <w:rPr>
          <w:rFonts w:hint="eastAsia"/>
          <w:color w:val="auto"/>
        </w:rPr>
        <w:t>学分与学时的换算。</w:t>
      </w:r>
      <w:r>
        <w:rPr>
          <w:color w:val="auto"/>
        </w:rPr>
        <w:t>18</w:t>
      </w:r>
      <w:r>
        <w:rPr>
          <w:rFonts w:hint="eastAsia"/>
          <w:color w:val="auto"/>
        </w:rPr>
        <w:t>学时为</w:t>
      </w:r>
      <w:r>
        <w:rPr>
          <w:color w:val="auto"/>
        </w:rPr>
        <w:t>1</w:t>
      </w:r>
      <w:r>
        <w:rPr>
          <w:rFonts w:hint="eastAsia"/>
          <w:color w:val="auto"/>
        </w:rPr>
        <w:t>个学分，三年制总学分不得少于</w:t>
      </w:r>
      <w:r>
        <w:rPr>
          <w:color w:val="auto"/>
        </w:rPr>
        <w:t>170</w:t>
      </w:r>
      <w:r>
        <w:rPr>
          <w:rFonts w:hint="eastAsia"/>
          <w:color w:val="auto"/>
        </w:rPr>
        <w:t>。军训、入学教育、社会实践、毕业设计（或毕业论文、毕业教育）等，以</w:t>
      </w:r>
      <w:r>
        <w:rPr>
          <w:color w:val="auto"/>
        </w:rPr>
        <w:t>1</w:t>
      </w:r>
      <w:r>
        <w:rPr>
          <w:rFonts w:hint="eastAsia"/>
          <w:color w:val="auto"/>
        </w:rPr>
        <w:t>周为</w:t>
      </w:r>
      <w:r>
        <w:rPr>
          <w:color w:val="auto"/>
        </w:rPr>
        <w:t>1</w:t>
      </w:r>
      <w:r>
        <w:rPr>
          <w:rFonts w:hint="eastAsia"/>
          <w:color w:val="auto"/>
        </w:rPr>
        <w:t>学分。</w:t>
      </w:r>
    </w:p>
    <w:p>
      <w:pPr>
        <w:ind w:firstLine="640"/>
        <w:rPr>
          <w:rFonts w:hint="eastAsia"/>
          <w:color w:val="auto"/>
        </w:rPr>
      </w:pPr>
      <w:r>
        <w:rPr>
          <w:rFonts w:hint="eastAsia"/>
          <w:color w:val="auto"/>
        </w:rPr>
        <w:t>公共基础课程学时一般占总学时的1/3，必须保证学生修完公共基础必修课程的内容和总学时数。选修课教学时数占总学时的比例均应不少于10%。学生跟岗实习为3个月，顶岗实习为6个月。</w:t>
      </w:r>
    </w:p>
    <w:p>
      <w:pPr>
        <w:pStyle w:val="2"/>
        <w:keepNext/>
        <w:keepLines/>
        <w:pageBreakBefore w:val="0"/>
        <w:widowControl w:val="0"/>
        <w:kinsoku/>
        <w:wordWrap/>
        <w:overflowPunct/>
        <w:topLinePunct w:val="0"/>
        <w:autoSpaceDE/>
        <w:autoSpaceDN/>
        <w:bidi w:val="0"/>
        <w:adjustRightInd/>
        <w:snapToGrid/>
        <w:spacing w:before="156" w:beforeLines="50" w:line="240" w:lineRule="atLeast"/>
        <w:ind w:firstLine="707" w:firstLineChars="220"/>
        <w:textAlignment w:val="auto"/>
        <w:rPr>
          <w:rFonts w:hint="eastAsia" w:ascii="Calibri" w:hAnsi="Calibri"/>
          <w:color w:val="auto"/>
        </w:rPr>
      </w:pPr>
      <w:r>
        <w:rPr>
          <w:rFonts w:hint="eastAsia" w:ascii="Calibri" w:hAnsi="Calibri"/>
          <w:color w:val="auto"/>
        </w:rPr>
        <w:t>八、教学进程总体安排</w:t>
      </w:r>
    </w:p>
    <w:p>
      <w:pPr>
        <w:pStyle w:val="3"/>
        <w:spacing w:line="240" w:lineRule="auto"/>
        <w:ind w:firstLine="643"/>
        <w:rPr>
          <w:rFonts w:hint="eastAsia" w:ascii="楷体" w:hAnsi="楷体" w:eastAsia="楷体" w:cs="楷体"/>
          <w:color w:val="auto"/>
        </w:rPr>
      </w:pPr>
      <w:r>
        <w:rPr>
          <w:rFonts w:hint="eastAsia" w:ascii="楷体" w:hAnsi="楷体" w:eastAsia="楷体" w:cs="楷体"/>
          <w:color w:val="auto"/>
        </w:rPr>
        <w:t>（一）总体安排</w:t>
      </w:r>
    </w:p>
    <w:tbl>
      <w:tblPr>
        <w:tblStyle w:val="8"/>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2278"/>
        <w:gridCol w:w="1592"/>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20" w:type="dxa"/>
            <w:gridSpan w:val="2"/>
          </w:tcPr>
          <w:p>
            <w:pPr>
              <w:spacing w:line="240" w:lineRule="atLeast"/>
              <w:ind w:firstLine="0" w:firstLineChars="0"/>
              <w:jc w:val="center"/>
              <w:rPr>
                <w:rFonts w:ascii="仿宋"/>
                <w:b/>
                <w:color w:val="auto"/>
                <w:szCs w:val="32"/>
              </w:rPr>
            </w:pPr>
            <w:r>
              <w:rPr>
                <w:rFonts w:hint="eastAsia" w:ascii="仿宋" w:hAnsi="仿宋"/>
                <w:b/>
                <w:color w:val="auto"/>
                <w:szCs w:val="32"/>
              </w:rPr>
              <w:t>教学活动</w:t>
            </w:r>
          </w:p>
        </w:tc>
        <w:tc>
          <w:tcPr>
            <w:tcW w:w="1592" w:type="dxa"/>
          </w:tcPr>
          <w:p>
            <w:pPr>
              <w:spacing w:line="240" w:lineRule="atLeast"/>
              <w:ind w:firstLine="0" w:firstLineChars="0"/>
              <w:jc w:val="center"/>
              <w:rPr>
                <w:rFonts w:ascii="仿宋"/>
                <w:b/>
                <w:color w:val="auto"/>
                <w:szCs w:val="32"/>
              </w:rPr>
            </w:pPr>
            <w:r>
              <w:rPr>
                <w:rFonts w:hint="eastAsia" w:ascii="仿宋" w:hAnsi="仿宋"/>
                <w:b/>
                <w:color w:val="auto"/>
                <w:szCs w:val="32"/>
              </w:rPr>
              <w:t>学分分配</w:t>
            </w:r>
          </w:p>
        </w:tc>
        <w:tc>
          <w:tcPr>
            <w:tcW w:w="1705" w:type="dxa"/>
          </w:tcPr>
          <w:p>
            <w:pPr>
              <w:spacing w:line="240" w:lineRule="atLeast"/>
              <w:ind w:firstLine="0" w:firstLineChars="0"/>
              <w:jc w:val="center"/>
              <w:rPr>
                <w:rFonts w:ascii="仿宋"/>
                <w:b/>
                <w:color w:val="auto"/>
                <w:szCs w:val="32"/>
              </w:rPr>
            </w:pPr>
            <w:r>
              <w:rPr>
                <w:rFonts w:hint="eastAsia" w:ascii="仿宋" w:hAnsi="仿宋"/>
                <w:b/>
                <w:color w:val="auto"/>
                <w:szCs w:val="32"/>
              </w:rPr>
              <w:t>学时分配</w:t>
            </w:r>
          </w:p>
        </w:tc>
        <w:tc>
          <w:tcPr>
            <w:tcW w:w="1705" w:type="dxa"/>
          </w:tcPr>
          <w:p>
            <w:pPr>
              <w:spacing w:line="240" w:lineRule="atLeast"/>
              <w:ind w:firstLine="0" w:firstLineChars="0"/>
              <w:jc w:val="center"/>
              <w:rPr>
                <w:rFonts w:ascii="仿宋"/>
                <w:b/>
                <w:color w:val="auto"/>
                <w:szCs w:val="32"/>
              </w:rPr>
            </w:pPr>
            <w:r>
              <w:rPr>
                <w:rFonts w:hint="eastAsia" w:ascii="仿宋" w:hAnsi="仿宋"/>
                <w:b/>
                <w:color w:val="auto"/>
                <w:szCs w:val="32"/>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242" w:type="dxa"/>
            <w:vMerge w:val="restart"/>
            <w:vAlign w:val="center"/>
          </w:tcPr>
          <w:p>
            <w:pPr>
              <w:spacing w:line="240" w:lineRule="atLeast"/>
              <w:ind w:firstLine="0" w:firstLineChars="0"/>
              <w:jc w:val="center"/>
              <w:rPr>
                <w:rFonts w:ascii="仿宋"/>
                <w:color w:val="auto"/>
                <w:szCs w:val="32"/>
              </w:rPr>
            </w:pPr>
            <w:r>
              <w:rPr>
                <w:rFonts w:hint="eastAsia" w:ascii="仿宋" w:hAnsi="仿宋"/>
                <w:color w:val="auto"/>
                <w:szCs w:val="32"/>
              </w:rPr>
              <w:t>公共基础课</w:t>
            </w:r>
          </w:p>
        </w:tc>
        <w:tc>
          <w:tcPr>
            <w:tcW w:w="2278" w:type="dxa"/>
            <w:vAlign w:val="center"/>
          </w:tcPr>
          <w:p>
            <w:pPr>
              <w:spacing w:line="240" w:lineRule="atLeast"/>
              <w:ind w:firstLine="0" w:firstLineChars="0"/>
              <w:jc w:val="center"/>
              <w:rPr>
                <w:rFonts w:ascii="仿宋"/>
                <w:color w:val="auto"/>
                <w:szCs w:val="32"/>
              </w:rPr>
            </w:pPr>
            <w:r>
              <w:rPr>
                <w:rFonts w:hint="eastAsia" w:ascii="仿宋" w:hAnsi="仿宋"/>
                <w:color w:val="auto"/>
                <w:szCs w:val="32"/>
              </w:rPr>
              <w:t>公共基础课</w:t>
            </w:r>
          </w:p>
        </w:tc>
        <w:tc>
          <w:tcPr>
            <w:tcW w:w="1592" w:type="dxa"/>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55</w:t>
            </w:r>
          </w:p>
        </w:tc>
        <w:tc>
          <w:tcPr>
            <w:tcW w:w="1705" w:type="dxa"/>
            <w:vAlign w:val="center"/>
          </w:tcPr>
          <w:p>
            <w:pPr>
              <w:spacing w:line="240" w:lineRule="atLeast"/>
              <w:ind w:firstLine="0" w:firstLineChars="0"/>
              <w:jc w:val="center"/>
              <w:rPr>
                <w:rFonts w:hint="default" w:ascii="仿宋" w:hAnsi="仿宋"/>
                <w:color w:val="auto"/>
                <w:szCs w:val="32"/>
                <w:lang w:val="en-US"/>
              </w:rPr>
            </w:pPr>
            <w:r>
              <w:rPr>
                <w:rFonts w:hint="eastAsia" w:ascii="仿宋" w:hAnsi="仿宋"/>
                <w:color w:val="auto"/>
                <w:szCs w:val="32"/>
                <w:lang w:val="en-US" w:eastAsia="zh-CN"/>
              </w:rPr>
              <w:t>990</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32.35%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vAlign w:val="center"/>
          </w:tcPr>
          <w:p>
            <w:pPr>
              <w:spacing w:line="240" w:lineRule="atLeast"/>
              <w:ind w:firstLine="0" w:firstLineChars="0"/>
              <w:jc w:val="center"/>
              <w:rPr>
                <w:rFonts w:ascii="仿宋"/>
                <w:color w:val="auto"/>
                <w:szCs w:val="32"/>
              </w:rPr>
            </w:pPr>
            <w:r>
              <w:rPr>
                <w:rFonts w:hint="eastAsia" w:ascii="仿宋" w:hAnsi="仿宋"/>
                <w:color w:val="auto"/>
                <w:szCs w:val="32"/>
              </w:rPr>
              <w:t>公共选修课</w:t>
            </w:r>
          </w:p>
        </w:tc>
        <w:tc>
          <w:tcPr>
            <w:tcW w:w="1592" w:type="dxa"/>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6</w:t>
            </w:r>
          </w:p>
        </w:tc>
        <w:tc>
          <w:tcPr>
            <w:tcW w:w="1705" w:type="dxa"/>
            <w:vAlign w:val="center"/>
          </w:tcPr>
          <w:p>
            <w:pPr>
              <w:spacing w:line="240" w:lineRule="atLeast"/>
              <w:ind w:firstLine="0" w:firstLineChars="0"/>
              <w:jc w:val="center"/>
              <w:rPr>
                <w:rFonts w:hint="default" w:ascii="仿宋" w:hAnsi="仿宋"/>
                <w:color w:val="auto"/>
                <w:szCs w:val="32"/>
                <w:lang w:val="en-US"/>
              </w:rPr>
            </w:pPr>
            <w:r>
              <w:rPr>
                <w:rFonts w:hint="eastAsia" w:ascii="仿宋" w:hAnsi="仿宋"/>
                <w:color w:val="auto"/>
                <w:szCs w:val="32"/>
                <w:lang w:val="en-US" w:eastAsia="zh-CN"/>
              </w:rPr>
              <w:t>108</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3.53%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shd w:val="clear" w:color="auto" w:fill="F2F2F2"/>
            <w:vAlign w:val="center"/>
          </w:tcPr>
          <w:p>
            <w:pPr>
              <w:spacing w:line="240" w:lineRule="atLeast"/>
              <w:ind w:firstLine="0" w:firstLineChars="0"/>
              <w:jc w:val="center"/>
              <w:rPr>
                <w:rFonts w:ascii="仿宋"/>
                <w:color w:val="auto"/>
                <w:szCs w:val="32"/>
              </w:rPr>
            </w:pPr>
            <w:r>
              <w:rPr>
                <w:rFonts w:hint="eastAsia" w:ascii="仿宋" w:hAnsi="仿宋"/>
                <w:color w:val="auto"/>
                <w:szCs w:val="32"/>
              </w:rPr>
              <w:t>小计</w:t>
            </w:r>
          </w:p>
        </w:tc>
        <w:tc>
          <w:tcPr>
            <w:tcW w:w="1592" w:type="dxa"/>
            <w:shd w:val="clear" w:color="auto" w:fill="F2F2F2"/>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61</w:t>
            </w:r>
          </w:p>
        </w:tc>
        <w:tc>
          <w:tcPr>
            <w:tcW w:w="1705" w:type="dxa"/>
            <w:shd w:val="clear" w:color="auto" w:fill="F2F2F2"/>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1098</w:t>
            </w:r>
          </w:p>
        </w:tc>
        <w:tc>
          <w:tcPr>
            <w:tcW w:w="1705" w:type="dxa"/>
            <w:shd w:val="clear" w:color="auto" w:fill="F2F2F2"/>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35.88%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restart"/>
            <w:vAlign w:val="center"/>
          </w:tcPr>
          <w:p>
            <w:pPr>
              <w:spacing w:line="240" w:lineRule="atLeast"/>
              <w:ind w:firstLine="0" w:firstLineChars="0"/>
              <w:jc w:val="center"/>
              <w:rPr>
                <w:rFonts w:ascii="仿宋"/>
                <w:color w:val="auto"/>
                <w:szCs w:val="32"/>
              </w:rPr>
            </w:pPr>
            <w:r>
              <w:rPr>
                <w:rFonts w:hint="eastAsia" w:ascii="仿宋" w:hAnsi="仿宋"/>
                <w:color w:val="auto"/>
                <w:szCs w:val="32"/>
              </w:rPr>
              <w:t>专业技能课</w:t>
            </w:r>
          </w:p>
        </w:tc>
        <w:tc>
          <w:tcPr>
            <w:tcW w:w="2278" w:type="dxa"/>
            <w:vAlign w:val="center"/>
          </w:tcPr>
          <w:p>
            <w:pPr>
              <w:spacing w:line="240" w:lineRule="atLeast"/>
              <w:ind w:firstLine="0" w:firstLineChars="0"/>
              <w:jc w:val="center"/>
              <w:rPr>
                <w:rFonts w:ascii="仿宋"/>
                <w:color w:val="auto"/>
                <w:szCs w:val="32"/>
              </w:rPr>
            </w:pPr>
            <w:r>
              <w:rPr>
                <w:rFonts w:hint="eastAsia" w:ascii="仿宋" w:hAnsi="仿宋"/>
                <w:color w:val="auto"/>
                <w:szCs w:val="32"/>
              </w:rPr>
              <w:t>专业核心课</w:t>
            </w:r>
          </w:p>
        </w:tc>
        <w:tc>
          <w:tcPr>
            <w:tcW w:w="1592" w:type="dxa"/>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33</w:t>
            </w:r>
          </w:p>
        </w:tc>
        <w:tc>
          <w:tcPr>
            <w:tcW w:w="1705" w:type="dxa"/>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594</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19.41%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vAlign w:val="center"/>
          </w:tcPr>
          <w:p>
            <w:pPr>
              <w:spacing w:line="240" w:lineRule="atLeast"/>
              <w:ind w:firstLine="0" w:firstLineChars="0"/>
              <w:jc w:val="center"/>
              <w:rPr>
                <w:rFonts w:ascii="仿宋"/>
                <w:color w:val="auto"/>
                <w:szCs w:val="32"/>
              </w:rPr>
            </w:pPr>
            <w:r>
              <w:rPr>
                <w:rFonts w:hint="eastAsia" w:ascii="仿宋" w:hAnsi="仿宋"/>
                <w:color w:val="auto"/>
                <w:szCs w:val="32"/>
              </w:rPr>
              <w:t>专业限选课</w:t>
            </w:r>
          </w:p>
        </w:tc>
        <w:tc>
          <w:tcPr>
            <w:tcW w:w="1592" w:type="dxa"/>
            <w:vAlign w:val="center"/>
          </w:tcPr>
          <w:p>
            <w:pPr>
              <w:spacing w:line="240" w:lineRule="atLeast"/>
              <w:ind w:firstLine="0" w:firstLineChars="0"/>
              <w:jc w:val="center"/>
              <w:rPr>
                <w:rFonts w:hint="default" w:ascii="仿宋" w:hAnsi="仿宋"/>
                <w:color w:val="auto"/>
                <w:szCs w:val="32"/>
                <w:lang w:val="en-US"/>
              </w:rPr>
            </w:pPr>
            <w:r>
              <w:rPr>
                <w:rFonts w:hint="eastAsia" w:ascii="仿宋" w:hAnsi="仿宋"/>
                <w:color w:val="auto"/>
                <w:szCs w:val="32"/>
                <w:lang w:val="en-US" w:eastAsia="zh-CN"/>
              </w:rPr>
              <w:t>28</w:t>
            </w:r>
          </w:p>
        </w:tc>
        <w:tc>
          <w:tcPr>
            <w:tcW w:w="1705" w:type="dxa"/>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504</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16.47%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tcPr>
          <w:p>
            <w:pPr>
              <w:spacing w:line="240" w:lineRule="atLeast"/>
              <w:ind w:firstLine="0" w:firstLineChars="0"/>
              <w:rPr>
                <w:rFonts w:ascii="仿宋"/>
                <w:color w:val="auto"/>
                <w:szCs w:val="32"/>
              </w:rPr>
            </w:pPr>
          </w:p>
        </w:tc>
        <w:tc>
          <w:tcPr>
            <w:tcW w:w="2278" w:type="dxa"/>
            <w:shd w:val="clear" w:color="auto" w:fill="F2F2F2"/>
            <w:vAlign w:val="center"/>
          </w:tcPr>
          <w:p>
            <w:pPr>
              <w:spacing w:line="240" w:lineRule="atLeast"/>
              <w:ind w:firstLine="0" w:firstLineChars="0"/>
              <w:jc w:val="center"/>
              <w:rPr>
                <w:rFonts w:ascii="仿宋"/>
                <w:color w:val="auto"/>
                <w:szCs w:val="32"/>
              </w:rPr>
            </w:pPr>
            <w:r>
              <w:rPr>
                <w:rFonts w:hint="eastAsia" w:ascii="仿宋" w:hAnsi="仿宋"/>
                <w:color w:val="auto"/>
                <w:szCs w:val="32"/>
              </w:rPr>
              <w:t>小计</w:t>
            </w:r>
          </w:p>
        </w:tc>
        <w:tc>
          <w:tcPr>
            <w:tcW w:w="1592" w:type="dxa"/>
            <w:shd w:val="clear" w:color="auto" w:fill="F2F2F2"/>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61</w:t>
            </w:r>
          </w:p>
        </w:tc>
        <w:tc>
          <w:tcPr>
            <w:tcW w:w="1705" w:type="dxa"/>
            <w:shd w:val="clear" w:color="auto" w:fill="F2F2F2"/>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1098</w:t>
            </w:r>
          </w:p>
        </w:tc>
        <w:tc>
          <w:tcPr>
            <w:tcW w:w="1705" w:type="dxa"/>
            <w:shd w:val="clear" w:color="auto" w:fill="F2F2F2"/>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35.88%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restart"/>
            <w:vAlign w:val="center"/>
          </w:tcPr>
          <w:p>
            <w:pPr>
              <w:spacing w:line="240" w:lineRule="atLeast"/>
              <w:ind w:firstLine="0" w:firstLineChars="0"/>
              <w:jc w:val="center"/>
              <w:rPr>
                <w:rFonts w:ascii="仿宋"/>
                <w:color w:val="auto"/>
                <w:szCs w:val="32"/>
              </w:rPr>
            </w:pPr>
            <w:r>
              <w:rPr>
                <w:rFonts w:hint="eastAsia" w:ascii="仿宋" w:hAnsi="仿宋"/>
                <w:color w:val="auto"/>
                <w:szCs w:val="32"/>
              </w:rPr>
              <w:t>实训实践课</w:t>
            </w:r>
          </w:p>
        </w:tc>
        <w:tc>
          <w:tcPr>
            <w:tcW w:w="2278"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入学教育</w:t>
            </w:r>
          </w:p>
        </w:tc>
        <w:tc>
          <w:tcPr>
            <w:tcW w:w="1592"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1</w:t>
            </w:r>
          </w:p>
        </w:tc>
        <w:tc>
          <w:tcPr>
            <w:tcW w:w="1705"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30</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0.59%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军训</w:t>
            </w:r>
          </w:p>
        </w:tc>
        <w:tc>
          <w:tcPr>
            <w:tcW w:w="1592"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1</w:t>
            </w:r>
          </w:p>
        </w:tc>
        <w:tc>
          <w:tcPr>
            <w:tcW w:w="1705"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30</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0.59%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社会实践</w:t>
            </w:r>
          </w:p>
        </w:tc>
        <w:tc>
          <w:tcPr>
            <w:tcW w:w="1592"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1</w:t>
            </w:r>
          </w:p>
        </w:tc>
        <w:tc>
          <w:tcPr>
            <w:tcW w:w="1705"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30</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0.59%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劳动教育</w:t>
            </w:r>
          </w:p>
        </w:tc>
        <w:tc>
          <w:tcPr>
            <w:tcW w:w="1592"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4</w:t>
            </w:r>
          </w:p>
        </w:tc>
        <w:tc>
          <w:tcPr>
            <w:tcW w:w="1705"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120</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毕业教育</w:t>
            </w:r>
          </w:p>
        </w:tc>
        <w:tc>
          <w:tcPr>
            <w:tcW w:w="1592"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1</w:t>
            </w:r>
          </w:p>
        </w:tc>
        <w:tc>
          <w:tcPr>
            <w:tcW w:w="1705"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30</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0.59%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实习报告</w:t>
            </w:r>
          </w:p>
        </w:tc>
        <w:tc>
          <w:tcPr>
            <w:tcW w:w="1592"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1</w:t>
            </w:r>
          </w:p>
        </w:tc>
        <w:tc>
          <w:tcPr>
            <w:tcW w:w="1705"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30</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0.59%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跟岗实习</w:t>
            </w:r>
          </w:p>
        </w:tc>
        <w:tc>
          <w:tcPr>
            <w:tcW w:w="1592"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13</w:t>
            </w:r>
          </w:p>
        </w:tc>
        <w:tc>
          <w:tcPr>
            <w:tcW w:w="1705"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390</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7.65%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顶岗实习</w:t>
            </w:r>
          </w:p>
        </w:tc>
        <w:tc>
          <w:tcPr>
            <w:tcW w:w="1592"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26</w:t>
            </w:r>
          </w:p>
        </w:tc>
        <w:tc>
          <w:tcPr>
            <w:tcW w:w="1705" w:type="dxa"/>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780</w:t>
            </w:r>
          </w:p>
        </w:tc>
        <w:tc>
          <w:tcPr>
            <w:tcW w:w="1705" w:type="dxa"/>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15.29%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1242" w:type="dxa"/>
            <w:vMerge w:val="continue"/>
            <w:vAlign w:val="center"/>
          </w:tcPr>
          <w:p>
            <w:pPr>
              <w:spacing w:line="240" w:lineRule="atLeast"/>
              <w:ind w:firstLine="0" w:firstLineChars="0"/>
              <w:jc w:val="center"/>
              <w:rPr>
                <w:rFonts w:ascii="仿宋"/>
                <w:color w:val="auto"/>
                <w:szCs w:val="32"/>
              </w:rPr>
            </w:pPr>
          </w:p>
        </w:tc>
        <w:tc>
          <w:tcPr>
            <w:tcW w:w="2278" w:type="dxa"/>
            <w:shd w:val="clear" w:color="auto" w:fill="F2F2F2"/>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小计</w:t>
            </w:r>
          </w:p>
        </w:tc>
        <w:tc>
          <w:tcPr>
            <w:tcW w:w="1592" w:type="dxa"/>
            <w:shd w:val="clear" w:color="auto" w:fill="F2F2F2"/>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48</w:t>
            </w:r>
          </w:p>
        </w:tc>
        <w:tc>
          <w:tcPr>
            <w:tcW w:w="1705" w:type="dxa"/>
            <w:shd w:val="clear" w:color="auto" w:fill="F2F2F2"/>
            <w:vAlign w:val="center"/>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rPr>
              <w:t>1440</w:t>
            </w:r>
          </w:p>
        </w:tc>
        <w:tc>
          <w:tcPr>
            <w:tcW w:w="1705" w:type="dxa"/>
            <w:shd w:val="clear" w:color="auto" w:fill="F2F2F2"/>
            <w:vAlign w:val="top"/>
          </w:tcPr>
          <w:p>
            <w:pPr>
              <w:spacing w:line="240" w:lineRule="atLeast"/>
              <w:ind w:firstLine="0" w:firstLineChars="0"/>
              <w:jc w:val="center"/>
              <w:rPr>
                <w:rFonts w:hint="eastAsia" w:ascii="仿宋" w:hAnsi="仿宋"/>
                <w:color w:val="auto"/>
                <w:szCs w:val="32"/>
                <w:lang w:val="en-US" w:eastAsia="zh-CN"/>
              </w:rPr>
            </w:pPr>
            <w:r>
              <w:rPr>
                <w:rFonts w:hint="eastAsia" w:ascii="仿宋" w:hAnsi="仿宋"/>
                <w:color w:val="auto"/>
                <w:szCs w:val="32"/>
                <w:lang w:val="en-US" w:eastAsia="zh-CN"/>
              </w:rPr>
              <w:t>28.24%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520" w:type="dxa"/>
            <w:gridSpan w:val="2"/>
            <w:shd w:val="clear" w:color="auto" w:fill="D9D9D9"/>
            <w:vAlign w:val="center"/>
          </w:tcPr>
          <w:p>
            <w:pPr>
              <w:spacing w:line="240" w:lineRule="atLeast"/>
              <w:ind w:firstLine="0" w:firstLineChars="0"/>
              <w:jc w:val="center"/>
              <w:rPr>
                <w:rFonts w:ascii="仿宋"/>
                <w:color w:val="auto"/>
                <w:szCs w:val="32"/>
              </w:rPr>
            </w:pPr>
            <w:r>
              <w:rPr>
                <w:rFonts w:hint="eastAsia" w:ascii="仿宋" w:hAnsi="仿宋"/>
                <w:color w:val="auto"/>
                <w:szCs w:val="32"/>
              </w:rPr>
              <w:t>合计</w:t>
            </w:r>
          </w:p>
        </w:tc>
        <w:tc>
          <w:tcPr>
            <w:tcW w:w="1592" w:type="dxa"/>
            <w:shd w:val="clear" w:color="auto" w:fill="D9D9D9"/>
            <w:vAlign w:val="center"/>
          </w:tcPr>
          <w:p>
            <w:pPr>
              <w:spacing w:line="240" w:lineRule="atLeast"/>
              <w:ind w:firstLine="0" w:firstLineChars="0"/>
              <w:jc w:val="center"/>
              <w:rPr>
                <w:rFonts w:hint="default" w:ascii="仿宋" w:hAnsi="仿宋"/>
                <w:color w:val="auto"/>
                <w:szCs w:val="32"/>
                <w:lang w:val="en-US"/>
              </w:rPr>
            </w:pPr>
            <w:r>
              <w:rPr>
                <w:rFonts w:hint="eastAsia" w:ascii="仿宋" w:hAnsi="仿宋"/>
                <w:color w:val="auto"/>
                <w:szCs w:val="32"/>
                <w:lang w:val="en-US" w:eastAsia="zh-CN"/>
              </w:rPr>
              <w:t>170</w:t>
            </w:r>
          </w:p>
        </w:tc>
        <w:tc>
          <w:tcPr>
            <w:tcW w:w="1705" w:type="dxa"/>
            <w:shd w:val="clear" w:color="auto" w:fill="D9D9D9"/>
            <w:vAlign w:val="center"/>
          </w:tcPr>
          <w:p>
            <w:pPr>
              <w:spacing w:line="240" w:lineRule="atLeast"/>
              <w:ind w:firstLine="0" w:firstLineChars="0"/>
              <w:jc w:val="center"/>
              <w:rPr>
                <w:rFonts w:hint="default" w:ascii="仿宋" w:hAnsi="仿宋"/>
                <w:color w:val="auto"/>
                <w:szCs w:val="32"/>
                <w:lang w:val="en-US"/>
              </w:rPr>
            </w:pPr>
            <w:r>
              <w:rPr>
                <w:rFonts w:hint="eastAsia" w:ascii="仿宋" w:hAnsi="仿宋"/>
                <w:color w:val="auto"/>
                <w:szCs w:val="32"/>
                <w:lang w:val="en-US" w:eastAsia="zh-CN"/>
              </w:rPr>
              <w:t>3636</w:t>
            </w:r>
          </w:p>
        </w:tc>
        <w:tc>
          <w:tcPr>
            <w:tcW w:w="1705" w:type="dxa"/>
            <w:shd w:val="clear" w:color="auto" w:fill="D9D9D9"/>
            <w:vAlign w:val="center"/>
          </w:tcPr>
          <w:p>
            <w:pPr>
              <w:spacing w:line="240" w:lineRule="atLeast"/>
              <w:ind w:firstLine="0" w:firstLineChars="0"/>
              <w:jc w:val="center"/>
              <w:rPr>
                <w:rFonts w:hint="eastAsia" w:ascii="仿宋" w:hAnsi="仿宋"/>
                <w:color w:val="auto"/>
                <w:szCs w:val="32"/>
              </w:rPr>
            </w:pPr>
            <w:r>
              <w:rPr>
                <w:rFonts w:hint="eastAsia" w:ascii="仿宋" w:hAnsi="仿宋"/>
                <w:color w:val="auto"/>
                <w:szCs w:val="32"/>
                <w:lang w:val="en-US" w:eastAsia="zh-CN"/>
              </w:rPr>
              <w:t>100.00%</w:t>
            </w:r>
          </w:p>
        </w:tc>
      </w:tr>
    </w:tbl>
    <w:p>
      <w:pPr>
        <w:ind w:firstLine="640"/>
        <w:rPr>
          <w:color w:val="auto"/>
        </w:rPr>
      </w:pPr>
      <w:r>
        <w:rPr>
          <w:rFonts w:hint="eastAsia"/>
          <w:color w:val="auto"/>
        </w:rPr>
        <w:t>其中，必修课（公共基础课、专业核心课）占比</w:t>
      </w:r>
      <w:r>
        <w:rPr>
          <w:rFonts w:hint="eastAsia"/>
          <w:color w:val="auto"/>
          <w:lang w:val="en-US" w:eastAsia="zh-CN"/>
        </w:rPr>
        <w:t>51.76</w:t>
      </w:r>
      <w:r>
        <w:rPr>
          <w:color w:val="auto"/>
        </w:rPr>
        <w:t>%</w:t>
      </w:r>
      <w:r>
        <w:rPr>
          <w:rFonts w:hint="eastAsia"/>
          <w:color w:val="auto"/>
        </w:rPr>
        <w:t>，选修课（公共选修课、专业</w:t>
      </w:r>
      <w:r>
        <w:rPr>
          <w:rFonts w:hint="eastAsia"/>
          <w:color w:val="auto"/>
          <w:lang w:eastAsia="zh-CN"/>
        </w:rPr>
        <w:t>限选</w:t>
      </w:r>
      <w:r>
        <w:rPr>
          <w:rFonts w:hint="eastAsia"/>
          <w:color w:val="auto"/>
        </w:rPr>
        <w:t>课）占比</w:t>
      </w:r>
      <w:r>
        <w:rPr>
          <w:rFonts w:hint="eastAsia"/>
          <w:color w:val="auto"/>
          <w:lang w:val="en-US" w:eastAsia="zh-CN"/>
        </w:rPr>
        <w:t>20</w:t>
      </w:r>
      <w:r>
        <w:rPr>
          <w:color w:val="auto"/>
        </w:rPr>
        <w:t>%</w:t>
      </w:r>
      <w:r>
        <w:rPr>
          <w:rFonts w:hint="eastAsia"/>
          <w:color w:val="auto"/>
        </w:rPr>
        <w:t>，实训实践课（</w:t>
      </w:r>
      <w:r>
        <w:rPr>
          <w:rFonts w:hint="eastAsia"/>
          <w:color w:val="auto"/>
          <w:lang w:eastAsia="zh-CN"/>
        </w:rPr>
        <w:t>含</w:t>
      </w:r>
      <w:r>
        <w:rPr>
          <w:rFonts w:hint="eastAsia"/>
          <w:color w:val="auto"/>
        </w:rPr>
        <w:t>入学教育、军训、综合实践、社会实践、毕业教育、顶岗实习）占比</w:t>
      </w:r>
      <w:r>
        <w:rPr>
          <w:rFonts w:hint="eastAsia"/>
          <w:color w:val="auto"/>
          <w:lang w:val="en-US" w:eastAsia="zh-CN"/>
        </w:rPr>
        <w:t>28.2</w:t>
      </w:r>
      <w:r>
        <w:rPr>
          <w:color w:val="auto"/>
        </w:rPr>
        <w:t>%</w:t>
      </w:r>
      <w:r>
        <w:rPr>
          <w:rFonts w:hint="eastAsia"/>
          <w:color w:val="auto"/>
        </w:rPr>
        <w:t>。</w:t>
      </w:r>
    </w:p>
    <w:p>
      <w:pPr>
        <w:pStyle w:val="3"/>
        <w:ind w:left="640" w:firstLine="0" w:firstLineChars="0"/>
        <w:rPr>
          <w:rFonts w:hint="eastAsia" w:ascii="楷体" w:hAnsi="楷体" w:eastAsia="楷体" w:cs="楷体"/>
          <w:color w:val="auto"/>
        </w:rPr>
      </w:pPr>
      <w:r>
        <w:rPr>
          <w:rFonts w:hint="eastAsia" w:ascii="楷体" w:hAnsi="楷体" w:eastAsia="楷体" w:cs="楷体"/>
          <w:color w:val="auto"/>
        </w:rPr>
        <w:t>（二）教学进程</w:t>
      </w:r>
    </w:p>
    <w:tbl>
      <w:tblPr>
        <w:tblStyle w:val="8"/>
        <w:tblW w:w="5000" w:type="pct"/>
        <w:tblInd w:w="0" w:type="dxa"/>
        <w:shd w:val="clear" w:color="auto" w:fill="auto"/>
        <w:tblLayout w:type="autofit"/>
        <w:tblCellMar>
          <w:top w:w="0" w:type="dxa"/>
          <w:left w:w="0" w:type="dxa"/>
          <w:bottom w:w="0" w:type="dxa"/>
          <w:right w:w="0" w:type="dxa"/>
        </w:tblCellMar>
      </w:tblPr>
      <w:tblGrid>
        <w:gridCol w:w="541"/>
        <w:gridCol w:w="542"/>
        <w:gridCol w:w="543"/>
        <w:gridCol w:w="1050"/>
        <w:gridCol w:w="977"/>
        <w:gridCol w:w="610"/>
        <w:gridCol w:w="676"/>
        <w:gridCol w:w="678"/>
        <w:gridCol w:w="543"/>
        <w:gridCol w:w="543"/>
        <w:gridCol w:w="543"/>
        <w:gridCol w:w="543"/>
        <w:gridCol w:w="543"/>
        <w:gridCol w:w="543"/>
      </w:tblGrid>
      <w:tr>
        <w:tblPrEx>
          <w:shd w:val="clear" w:color="auto" w:fill="auto"/>
          <w:tblCellMar>
            <w:top w:w="0" w:type="dxa"/>
            <w:left w:w="0" w:type="dxa"/>
            <w:bottom w:w="0" w:type="dxa"/>
            <w:right w:w="0" w:type="dxa"/>
          </w:tblCellMar>
        </w:tblPrEx>
        <w:trPr>
          <w:trHeight w:val="285" w:hRule="atLeast"/>
        </w:trPr>
        <w:tc>
          <w:tcPr>
            <w:tcW w:w="1083" w:type="dxa"/>
            <w:gridSpan w:val="2"/>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类别</w:t>
            </w:r>
          </w:p>
        </w:tc>
        <w:tc>
          <w:tcPr>
            <w:tcW w:w="543" w:type="dxa"/>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序号</w:t>
            </w:r>
          </w:p>
        </w:tc>
        <w:tc>
          <w:tcPr>
            <w:tcW w:w="1050" w:type="dxa"/>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课程名称</w:t>
            </w:r>
          </w:p>
        </w:tc>
        <w:tc>
          <w:tcPr>
            <w:tcW w:w="977" w:type="dxa"/>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学分</w:t>
            </w:r>
          </w:p>
        </w:tc>
        <w:tc>
          <w:tcPr>
            <w:tcW w:w="1964" w:type="dxa"/>
            <w:gridSpan w:val="3"/>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学时数分配</w:t>
            </w:r>
          </w:p>
        </w:tc>
        <w:tc>
          <w:tcPr>
            <w:tcW w:w="3258" w:type="dxa"/>
            <w:gridSpan w:val="6"/>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各学期周学时分配</w:t>
            </w:r>
          </w:p>
        </w:tc>
      </w:tr>
      <w:tr>
        <w:tblPrEx>
          <w:tblCellMar>
            <w:top w:w="0" w:type="dxa"/>
            <w:left w:w="0" w:type="dxa"/>
            <w:bottom w:w="0" w:type="dxa"/>
            <w:right w:w="0" w:type="dxa"/>
          </w:tblCellMar>
        </w:tblPrEx>
        <w:trPr>
          <w:trHeight w:val="285" w:hRule="atLeast"/>
        </w:trPr>
        <w:tc>
          <w:tcPr>
            <w:tcW w:w="1083" w:type="dxa"/>
            <w:gridSpan w:val="2"/>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050"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977"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理论</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实践</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合计</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一</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二</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三</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四</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五</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六</w:t>
            </w:r>
          </w:p>
        </w:tc>
      </w:tr>
      <w:tr>
        <w:tblPrEx>
          <w:tblCellMar>
            <w:top w:w="0" w:type="dxa"/>
            <w:left w:w="0" w:type="dxa"/>
            <w:bottom w:w="0" w:type="dxa"/>
            <w:right w:w="0" w:type="dxa"/>
          </w:tblCellMar>
        </w:tblPrEx>
        <w:trPr>
          <w:trHeight w:val="285" w:hRule="atLeast"/>
        </w:trPr>
        <w:tc>
          <w:tcPr>
            <w:tcW w:w="1083" w:type="dxa"/>
            <w:gridSpan w:val="2"/>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050"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977"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964" w:type="dxa"/>
            <w:gridSpan w:val="3"/>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教学周数</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20周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20周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20周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20周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20周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1083" w:type="dxa"/>
            <w:gridSpan w:val="2"/>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050"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977"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964" w:type="dxa"/>
            <w:gridSpan w:val="3"/>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实际上课周数</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18周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18周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18周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18周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18周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525" w:hRule="atLeast"/>
        </w:trPr>
        <w:tc>
          <w:tcPr>
            <w:tcW w:w="541" w:type="dxa"/>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必</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修</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w:t>
            </w:r>
          </w:p>
        </w:tc>
        <w:tc>
          <w:tcPr>
            <w:tcW w:w="542" w:type="dxa"/>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公</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共</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基</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础</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中国特色社会主义</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52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哲学与人生</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780"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心理健康与职业生涯</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52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职业道德与法治</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w:t>
            </w:r>
          </w:p>
        </w:tc>
        <w:tc>
          <w:tcPr>
            <w:tcW w:w="0" w:type="auto"/>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世界历史</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6</w:t>
            </w:r>
          </w:p>
        </w:tc>
        <w:tc>
          <w:tcPr>
            <w:tcW w:w="0" w:type="auto"/>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中国历史</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w:t>
            </w:r>
          </w:p>
        </w:tc>
        <w:tc>
          <w:tcPr>
            <w:tcW w:w="0" w:type="auto"/>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语文1、2</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11</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144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54</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198</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8</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数学1、2</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8</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108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144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9</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英语1、2</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8</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108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144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10</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信息技术</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6</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72</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108</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11</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体育</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8</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32</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144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450"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12</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艺术</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593" w:type="dxa"/>
            <w:gridSpan w:val="2"/>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公共基础课小计</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55</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566</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424</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990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13</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0</w:t>
            </w:r>
          </w:p>
        </w:tc>
      </w:tr>
      <w:tr>
        <w:tblPrEx>
          <w:tblCellMar>
            <w:top w:w="0" w:type="dxa"/>
            <w:left w:w="0" w:type="dxa"/>
            <w:bottom w:w="0" w:type="dxa"/>
            <w:right w:w="0" w:type="dxa"/>
          </w:tblCellMar>
        </w:tblPrEx>
        <w:trPr>
          <w:trHeight w:val="52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专</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业</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核</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心</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w:t>
            </w:r>
          </w:p>
        </w:tc>
        <w:tc>
          <w:tcPr>
            <w:tcW w:w="0" w:type="auto"/>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网店装修</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8</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30</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114</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144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52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0" w:type="auto"/>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网店运营推广</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6</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90</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108</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52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0" w:type="auto"/>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电子商务数据分析</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54</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52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0" w:type="auto"/>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微网站设计</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12</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60</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52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0" w:type="auto"/>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电商直播</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90</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126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52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0" w:type="auto"/>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6</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新媒体运营</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54</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52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593" w:type="dxa"/>
            <w:gridSpan w:val="2"/>
            <w:tcBorders>
              <w:top w:val="nil"/>
              <w:left w:val="nil"/>
              <w:bottom w:val="single" w:color="000000" w:sz="8" w:space="0"/>
              <w:right w:val="single" w:color="000000" w:sz="8" w:space="0"/>
            </w:tcBorders>
            <w:shd w:val="clear" w:color="auto" w:fill="auto"/>
            <w:noWrap/>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专业核心课小计</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33</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132</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462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594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11</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0</w:t>
            </w: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训</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践</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入学教育（时事及安全教育）</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军训</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社会实践</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4</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劳动教育</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4</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120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5</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毕业教育</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1周</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6</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跟岗实习</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13</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390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实习</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7</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顶岗实习</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26</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780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实习</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实习</w:t>
            </w: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8</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实习报告</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1周</w:t>
            </w: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593" w:type="dxa"/>
            <w:gridSpan w:val="2"/>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实训实践课小计</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48</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1440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r>
      <w:tr>
        <w:tblPrEx>
          <w:tblCellMar>
            <w:top w:w="0" w:type="dxa"/>
            <w:left w:w="0" w:type="dxa"/>
            <w:bottom w:w="0" w:type="dxa"/>
            <w:right w:w="0" w:type="dxa"/>
          </w:tblCellMar>
        </w:tblPrEx>
        <w:trPr>
          <w:trHeight w:val="780" w:hRule="atLeast"/>
        </w:trPr>
        <w:tc>
          <w:tcPr>
            <w:tcW w:w="541" w:type="dxa"/>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选</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修</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w:t>
            </w:r>
          </w:p>
        </w:tc>
        <w:tc>
          <w:tcPr>
            <w:tcW w:w="542" w:type="dxa"/>
            <w:vMerge w:val="restart"/>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公</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共</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选</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修</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民族文化（八桂文化）</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780" w:hRule="atLeast"/>
        </w:trPr>
        <w:tc>
          <w:tcPr>
            <w:tcW w:w="541"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国学</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30</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6</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780" w:hRule="atLeast"/>
        </w:trPr>
        <w:tc>
          <w:tcPr>
            <w:tcW w:w="541"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劳动法</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24</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12</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780" w:hRule="atLeast"/>
        </w:trPr>
        <w:tc>
          <w:tcPr>
            <w:tcW w:w="541" w:type="dxa"/>
            <w:vMerge w:val="continue"/>
            <w:tcBorders>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left w:val="single" w:color="000000" w:sz="8" w:space="0"/>
              <w:bottom w:val="single" w:color="auto" w:sz="4"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593" w:type="dxa"/>
            <w:gridSpan w:val="2"/>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公共选修课小计</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6</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30</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108</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0</w:t>
            </w: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restart"/>
            <w:tcBorders>
              <w:top w:val="single" w:color="auto" w:sz="4" w:space="0"/>
              <w:left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专</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业</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限</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选</w:t>
            </w:r>
          </w:p>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电子商务基础</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9</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27</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营销实务</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27</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9</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电子商务客服（1+X考证方向）</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54</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消费者心理学</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跨境电商</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54</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6</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商品拍摄技术</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54</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电子商务文案</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8</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企业沙盘</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54</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72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9</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电子商务物流（选修）</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27</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9</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10</w:t>
            </w:r>
          </w:p>
        </w:tc>
        <w:tc>
          <w:tcPr>
            <w:tcW w:w="105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营销与口才（选修）</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36</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p>
        </w:tc>
      </w:tr>
      <w:tr>
        <w:tblPrEx>
          <w:tblCellMar>
            <w:top w:w="0" w:type="dxa"/>
            <w:left w:w="0" w:type="dxa"/>
            <w:bottom w:w="0" w:type="dxa"/>
            <w:right w:w="0" w:type="dxa"/>
          </w:tblCellMar>
        </w:tblPrEx>
        <w:trPr>
          <w:trHeight w:val="285" w:hRule="atLeast"/>
        </w:trPr>
        <w:tc>
          <w:tcPr>
            <w:tcW w:w="541"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542" w:type="dxa"/>
            <w:vMerge w:val="continue"/>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p>
        </w:tc>
        <w:tc>
          <w:tcPr>
            <w:tcW w:w="1593" w:type="dxa"/>
            <w:gridSpan w:val="2"/>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专业限选课小计</w:t>
            </w:r>
          </w:p>
        </w:tc>
        <w:tc>
          <w:tcPr>
            <w:tcW w:w="977"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28</w:t>
            </w:r>
          </w:p>
        </w:tc>
        <w:tc>
          <w:tcPr>
            <w:tcW w:w="610"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189</w:t>
            </w:r>
          </w:p>
        </w:tc>
        <w:tc>
          <w:tcPr>
            <w:tcW w:w="676"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315</w:t>
            </w:r>
          </w:p>
        </w:tc>
        <w:tc>
          <w:tcPr>
            <w:tcW w:w="678"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504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14</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10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0</w:t>
            </w:r>
          </w:p>
        </w:tc>
        <w:tc>
          <w:tcPr>
            <w:tcW w:w="543" w:type="dxa"/>
            <w:tcBorders>
              <w:top w:val="nil"/>
              <w:left w:val="nil"/>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eastAsia="仿宋" w:cs="宋体"/>
                <w:color w:val="auto"/>
                <w:kern w:val="0"/>
                <w:sz w:val="24"/>
                <w:szCs w:val="24"/>
                <w:lang w:val="en-US" w:eastAsia="zh-CN" w:bidi="ar-SA"/>
              </w:rPr>
            </w:pPr>
            <w:r>
              <w:rPr>
                <w:rFonts w:hint="eastAsia" w:ascii="仿宋" w:hAnsi="仿宋" w:cs="宋体"/>
                <w:color w:val="auto"/>
                <w:kern w:val="0"/>
                <w:sz w:val="24"/>
                <w:szCs w:val="24"/>
                <w:lang w:val="en-US" w:eastAsia="zh-CN"/>
              </w:rPr>
              <w:t>0</w:t>
            </w:r>
          </w:p>
        </w:tc>
      </w:tr>
      <w:tr>
        <w:tblPrEx>
          <w:tblCellMar>
            <w:top w:w="0" w:type="dxa"/>
            <w:left w:w="0" w:type="dxa"/>
            <w:bottom w:w="0" w:type="dxa"/>
            <w:right w:w="0" w:type="dxa"/>
          </w:tblCellMar>
        </w:tblPrEx>
        <w:trPr>
          <w:trHeight w:val="285" w:hRule="atLeast"/>
        </w:trPr>
        <w:tc>
          <w:tcPr>
            <w:tcW w:w="2676" w:type="dxa"/>
            <w:gridSpan w:val="4"/>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课内理论教学总时数</w:t>
            </w:r>
          </w:p>
        </w:tc>
        <w:tc>
          <w:tcPr>
            <w:tcW w:w="1587" w:type="dxa"/>
            <w:gridSpan w:val="2"/>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965</w:t>
            </w:r>
          </w:p>
        </w:tc>
        <w:tc>
          <w:tcPr>
            <w:tcW w:w="4612" w:type="dxa"/>
            <w:gridSpan w:val="8"/>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left"/>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公共基础课+专业课+专业核心课+实训实践课+公共选修课</w:t>
            </w:r>
          </w:p>
        </w:tc>
      </w:tr>
      <w:tr>
        <w:tblPrEx>
          <w:tblCellMar>
            <w:top w:w="0" w:type="dxa"/>
            <w:left w:w="0" w:type="dxa"/>
            <w:bottom w:w="0" w:type="dxa"/>
            <w:right w:w="0" w:type="dxa"/>
          </w:tblCellMar>
        </w:tblPrEx>
        <w:trPr>
          <w:trHeight w:val="510" w:hRule="atLeast"/>
        </w:trPr>
        <w:tc>
          <w:tcPr>
            <w:tcW w:w="2676" w:type="dxa"/>
            <w:gridSpan w:val="4"/>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实践教学总时数</w:t>
            </w:r>
          </w:p>
        </w:tc>
        <w:tc>
          <w:tcPr>
            <w:tcW w:w="1587" w:type="dxa"/>
            <w:gridSpan w:val="2"/>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2671</w:t>
            </w:r>
          </w:p>
        </w:tc>
        <w:tc>
          <w:tcPr>
            <w:tcW w:w="4612" w:type="dxa"/>
            <w:gridSpan w:val="8"/>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left"/>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课内实践教学时数+单独设置实践课（军训、入学教育、社会实践、毕业设计或毕业论文、毕业教育）以1周为1学分，顶岗实习按每周30学时计算</w:t>
            </w:r>
          </w:p>
        </w:tc>
      </w:tr>
      <w:tr>
        <w:tblPrEx>
          <w:tblCellMar>
            <w:top w:w="0" w:type="dxa"/>
            <w:left w:w="0" w:type="dxa"/>
            <w:bottom w:w="0" w:type="dxa"/>
            <w:right w:w="0" w:type="dxa"/>
          </w:tblCellMar>
        </w:tblPrEx>
        <w:trPr>
          <w:trHeight w:val="285" w:hRule="atLeast"/>
        </w:trPr>
        <w:tc>
          <w:tcPr>
            <w:tcW w:w="2676" w:type="dxa"/>
            <w:gridSpan w:val="4"/>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教学总学时（理论+实践）</w:t>
            </w:r>
          </w:p>
        </w:tc>
        <w:tc>
          <w:tcPr>
            <w:tcW w:w="1587" w:type="dxa"/>
            <w:gridSpan w:val="2"/>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3636</w:t>
            </w:r>
          </w:p>
        </w:tc>
        <w:tc>
          <w:tcPr>
            <w:tcW w:w="4612" w:type="dxa"/>
            <w:gridSpan w:val="8"/>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其中理论学时占总学时 30%，实践教学占总学时 70%。</w:t>
            </w:r>
          </w:p>
        </w:tc>
      </w:tr>
      <w:tr>
        <w:tblPrEx>
          <w:tblCellMar>
            <w:top w:w="0" w:type="dxa"/>
            <w:left w:w="0" w:type="dxa"/>
            <w:bottom w:w="0" w:type="dxa"/>
            <w:right w:w="0" w:type="dxa"/>
          </w:tblCellMar>
        </w:tblPrEx>
        <w:trPr>
          <w:trHeight w:val="285" w:hRule="atLeast"/>
        </w:trPr>
        <w:tc>
          <w:tcPr>
            <w:tcW w:w="2676" w:type="dxa"/>
            <w:gridSpan w:val="4"/>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eastAsia"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毕业总学分</w:t>
            </w:r>
          </w:p>
        </w:tc>
        <w:tc>
          <w:tcPr>
            <w:tcW w:w="6199" w:type="dxa"/>
            <w:gridSpan w:val="10"/>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widowControl/>
              <w:spacing w:line="240" w:lineRule="atLeast"/>
              <w:ind w:firstLine="0" w:firstLineChars="0"/>
              <w:jc w:val="center"/>
              <w:rPr>
                <w:rFonts w:hint="default" w:ascii="仿宋" w:hAnsi="仿宋" w:cs="宋体"/>
                <w:color w:val="auto"/>
                <w:kern w:val="0"/>
                <w:sz w:val="24"/>
                <w:szCs w:val="24"/>
                <w:lang w:val="en-US" w:eastAsia="zh-CN"/>
              </w:rPr>
            </w:pPr>
            <w:r>
              <w:rPr>
                <w:rFonts w:hint="eastAsia" w:ascii="仿宋" w:hAnsi="仿宋" w:cs="宋体"/>
                <w:color w:val="auto"/>
                <w:kern w:val="0"/>
                <w:sz w:val="24"/>
                <w:szCs w:val="24"/>
                <w:lang w:val="en-US" w:eastAsia="zh-CN"/>
              </w:rPr>
              <w:t>170</w:t>
            </w:r>
          </w:p>
        </w:tc>
      </w:tr>
    </w:tbl>
    <w:p>
      <w:pPr>
        <w:pStyle w:val="2"/>
        <w:keepNext/>
        <w:keepLines/>
        <w:pageBreakBefore w:val="0"/>
        <w:widowControl w:val="0"/>
        <w:kinsoku/>
        <w:wordWrap/>
        <w:overflowPunct/>
        <w:topLinePunct w:val="0"/>
        <w:autoSpaceDE/>
        <w:autoSpaceDN/>
        <w:bidi w:val="0"/>
        <w:adjustRightInd/>
        <w:snapToGrid/>
        <w:spacing w:before="156" w:beforeLines="50" w:line="240" w:lineRule="atLeast"/>
        <w:ind w:firstLine="707" w:firstLineChars="220"/>
        <w:textAlignment w:val="auto"/>
        <w:rPr>
          <w:rFonts w:hint="eastAsia" w:ascii="Calibri" w:hAnsi="Calibri"/>
          <w:color w:val="auto"/>
        </w:rPr>
      </w:pPr>
      <w:r>
        <w:rPr>
          <w:rFonts w:hint="eastAsia" w:ascii="Calibri" w:hAnsi="Calibri"/>
          <w:color w:val="auto"/>
        </w:rPr>
        <w:t>九、实施保障</w:t>
      </w:r>
    </w:p>
    <w:p>
      <w:pPr>
        <w:pStyle w:val="3"/>
        <w:ind w:firstLine="643"/>
        <w:outlineLvl w:val="1"/>
        <w:rPr>
          <w:rFonts w:hint="eastAsia" w:ascii="楷体" w:hAnsi="楷体" w:eastAsia="楷体" w:cs="楷体"/>
          <w:color w:val="auto"/>
        </w:rPr>
      </w:pPr>
      <w:r>
        <w:rPr>
          <w:rFonts w:hint="eastAsia" w:ascii="楷体" w:hAnsi="楷体" w:eastAsia="楷体" w:cs="楷体"/>
          <w:color w:val="auto"/>
        </w:rPr>
        <w:t>（一）师资队伍</w:t>
      </w:r>
    </w:p>
    <w:p>
      <w:pPr>
        <w:ind w:firstLine="640"/>
        <w:rPr>
          <w:rFonts w:ascii="仿宋" w:cs="仿宋"/>
          <w:color w:val="auto"/>
          <w:szCs w:val="32"/>
        </w:rPr>
      </w:pPr>
      <w:r>
        <w:rPr>
          <w:rFonts w:ascii="仿宋" w:hAnsi="仿宋" w:cs="仿宋"/>
          <w:color w:val="auto"/>
          <w:szCs w:val="32"/>
        </w:rPr>
        <w:t>1.</w:t>
      </w:r>
      <w:r>
        <w:rPr>
          <w:rFonts w:hint="eastAsia" w:ascii="仿宋" w:hAnsi="仿宋" w:cs="仿宋"/>
          <w:color w:val="auto"/>
          <w:szCs w:val="32"/>
        </w:rPr>
        <w:t xml:space="preserve">教师具有职校教师资格证或相关职业技能证书。 </w:t>
      </w:r>
    </w:p>
    <w:p>
      <w:pPr>
        <w:ind w:firstLine="640"/>
        <w:rPr>
          <w:rFonts w:ascii="仿宋" w:cs="仿宋"/>
          <w:color w:val="auto"/>
          <w:szCs w:val="32"/>
        </w:rPr>
      </w:pPr>
      <w:r>
        <w:rPr>
          <w:rFonts w:ascii="仿宋" w:hAnsi="仿宋" w:cs="仿宋"/>
          <w:color w:val="auto"/>
          <w:szCs w:val="32"/>
        </w:rPr>
        <w:t>2.</w:t>
      </w:r>
      <w:r>
        <w:rPr>
          <w:rFonts w:hint="eastAsia" w:ascii="仿宋" w:hAnsi="仿宋" w:cs="仿宋"/>
          <w:color w:val="auto"/>
          <w:szCs w:val="32"/>
        </w:rPr>
        <w:t>专业核心课程的教师应具有双师型教师资格或相关行业经历。</w:t>
      </w:r>
    </w:p>
    <w:p>
      <w:pPr>
        <w:ind w:firstLine="640"/>
        <w:rPr>
          <w:rFonts w:ascii="仿宋" w:cs="仿宋"/>
          <w:color w:val="auto"/>
          <w:szCs w:val="32"/>
        </w:rPr>
      </w:pPr>
      <w:r>
        <w:rPr>
          <w:rFonts w:ascii="仿宋" w:hAnsi="仿宋" w:cs="仿宋"/>
          <w:color w:val="auto"/>
          <w:szCs w:val="32"/>
        </w:rPr>
        <w:t>3.</w:t>
      </w:r>
      <w:r>
        <w:rPr>
          <w:rFonts w:hint="eastAsia" w:ascii="仿宋" w:hAnsi="仿宋" w:cs="仿宋"/>
          <w:color w:val="auto"/>
          <w:szCs w:val="32"/>
        </w:rPr>
        <w:t>具有专任教师4名，其中3名为副高职称，</w:t>
      </w:r>
      <w:r>
        <w:rPr>
          <w:rFonts w:ascii="仿宋" w:hAnsi="仿宋" w:cs="仿宋"/>
          <w:color w:val="auto"/>
          <w:szCs w:val="32"/>
        </w:rPr>
        <w:t>1</w:t>
      </w:r>
      <w:r>
        <w:rPr>
          <w:rFonts w:hint="eastAsia" w:ascii="仿宋" w:hAnsi="仿宋" w:cs="仿宋"/>
          <w:color w:val="auto"/>
          <w:szCs w:val="32"/>
        </w:rPr>
        <w:t>名骨干教师。</w:t>
      </w:r>
    </w:p>
    <w:p>
      <w:pPr>
        <w:pStyle w:val="3"/>
        <w:ind w:firstLine="643"/>
        <w:outlineLvl w:val="1"/>
        <w:rPr>
          <w:rFonts w:hint="eastAsia" w:ascii="楷体" w:hAnsi="楷体" w:eastAsia="楷体" w:cs="楷体"/>
          <w:color w:val="auto"/>
        </w:rPr>
      </w:pPr>
      <w:r>
        <w:rPr>
          <w:rFonts w:hint="eastAsia" w:ascii="楷体" w:hAnsi="楷体" w:eastAsia="楷体" w:cs="楷体"/>
          <w:color w:val="auto"/>
        </w:rPr>
        <w:t>（二）教学设施</w:t>
      </w:r>
    </w:p>
    <w:p>
      <w:pPr>
        <w:ind w:firstLine="643"/>
        <w:outlineLvl w:val="2"/>
        <w:rPr>
          <w:rFonts w:hint="eastAsia" w:ascii="仿宋" w:hAnsi="仿宋" w:eastAsia="仿宋" w:cs="仿宋"/>
          <w:b/>
          <w:bCs/>
          <w:color w:val="auto"/>
          <w:szCs w:val="32"/>
        </w:rPr>
      </w:pPr>
      <w:r>
        <w:rPr>
          <w:rFonts w:hint="eastAsia" w:ascii="仿宋" w:hAnsi="仿宋" w:eastAsia="仿宋" w:cs="仿宋"/>
          <w:b/>
          <w:bCs/>
          <w:color w:val="auto"/>
          <w:szCs w:val="32"/>
        </w:rPr>
        <w:t>1.校内实训</w:t>
      </w:r>
    </w:p>
    <w:p>
      <w:pPr>
        <w:ind w:firstLine="640"/>
        <w:rPr>
          <w:rFonts w:ascii="仿宋" w:cs="仿宋"/>
          <w:color w:val="auto"/>
          <w:szCs w:val="32"/>
        </w:rPr>
      </w:pPr>
      <w:r>
        <w:rPr>
          <w:rFonts w:hint="eastAsia" w:ascii="仿宋" w:hAnsi="仿宋" w:cs="仿宋"/>
          <w:color w:val="auto"/>
          <w:szCs w:val="32"/>
        </w:rPr>
        <w:t>目前我校搭建有计算机实训室，多媒体教室、电子商务创业创新实训室、电商扶贫实训中心，可供《电子商务基础》、《跨境电子商务基础》、《</w:t>
      </w:r>
      <w:r>
        <w:rPr>
          <w:rFonts w:hint="eastAsia" w:ascii="仿宋" w:hAnsi="仿宋" w:cs="仿宋"/>
          <w:color w:val="auto"/>
          <w:szCs w:val="32"/>
          <w:lang w:val="en-US" w:eastAsia="zh-CN"/>
        </w:rPr>
        <w:t>网店运营推广</w:t>
      </w:r>
      <w:r>
        <w:rPr>
          <w:rFonts w:hint="eastAsia" w:ascii="仿宋" w:hAnsi="仿宋" w:cs="仿宋"/>
          <w:color w:val="auto"/>
          <w:szCs w:val="32"/>
        </w:rPr>
        <w:t>》、《网店装修》、</w:t>
      </w:r>
      <w:r>
        <w:rPr>
          <w:rFonts w:hint="eastAsia" w:ascii="仿宋" w:hAnsi="仿宋" w:cs="仿宋"/>
          <w:color w:val="auto"/>
          <w:szCs w:val="32"/>
          <w:lang w:eastAsia="zh-CN"/>
        </w:rPr>
        <w:t>《电商直播》、</w:t>
      </w:r>
      <w:r>
        <w:rPr>
          <w:rFonts w:hint="eastAsia" w:ascii="仿宋" w:hAnsi="仿宋" w:cs="仿宋"/>
          <w:color w:val="auto"/>
          <w:szCs w:val="32"/>
        </w:rPr>
        <w:t>《</w:t>
      </w:r>
      <w:r>
        <w:rPr>
          <w:rFonts w:hint="eastAsia" w:ascii="仿宋" w:hAnsi="仿宋" w:cs="仿宋"/>
          <w:color w:val="auto"/>
          <w:szCs w:val="32"/>
          <w:lang w:eastAsia="zh-CN"/>
        </w:rPr>
        <w:t>微网店装修</w:t>
      </w:r>
      <w:r>
        <w:rPr>
          <w:rFonts w:hint="eastAsia" w:ascii="仿宋" w:hAnsi="仿宋" w:cs="仿宋"/>
          <w:color w:val="auto"/>
          <w:szCs w:val="32"/>
        </w:rPr>
        <w:t>》、《商品拍摄</w:t>
      </w:r>
      <w:r>
        <w:rPr>
          <w:rFonts w:hint="eastAsia" w:ascii="仿宋" w:hAnsi="仿宋" w:cs="仿宋"/>
          <w:color w:val="auto"/>
          <w:szCs w:val="32"/>
          <w:lang w:eastAsia="zh-CN"/>
        </w:rPr>
        <w:t>技术</w:t>
      </w:r>
      <w:r>
        <w:rPr>
          <w:rFonts w:hint="eastAsia" w:ascii="仿宋" w:hAnsi="仿宋" w:cs="仿宋"/>
          <w:color w:val="auto"/>
          <w:szCs w:val="32"/>
        </w:rPr>
        <w:t>》</w:t>
      </w:r>
      <w:r>
        <w:rPr>
          <w:rFonts w:hint="eastAsia" w:ascii="仿宋" w:hAnsi="仿宋" w:cs="仿宋"/>
          <w:color w:val="auto"/>
          <w:szCs w:val="32"/>
          <w:lang w:eastAsia="zh-CN"/>
        </w:rPr>
        <w:t>、《</w:t>
      </w:r>
      <w:r>
        <w:rPr>
          <w:rFonts w:hint="eastAsia" w:ascii="仿宋" w:hAnsi="仿宋" w:cs="仿宋"/>
          <w:color w:val="auto"/>
          <w:szCs w:val="32"/>
          <w:lang w:val="en-US" w:eastAsia="zh-CN"/>
        </w:rPr>
        <w:t>电子商务数据分析</w:t>
      </w:r>
      <w:r>
        <w:rPr>
          <w:rFonts w:hint="eastAsia" w:ascii="仿宋" w:hAnsi="仿宋" w:cs="仿宋"/>
          <w:color w:val="auto"/>
          <w:szCs w:val="32"/>
          <w:lang w:eastAsia="zh-CN"/>
        </w:rPr>
        <w:t>》</w:t>
      </w:r>
      <w:r>
        <w:rPr>
          <w:rFonts w:hint="eastAsia" w:ascii="仿宋" w:hAnsi="仿宋" w:cs="仿宋"/>
          <w:color w:val="auto"/>
          <w:szCs w:val="32"/>
        </w:rPr>
        <w:t>等专业课程上机模拟实习使用。</w:t>
      </w:r>
    </w:p>
    <w:p>
      <w:pPr>
        <w:ind w:firstLine="643"/>
        <w:rPr>
          <w:rFonts w:ascii="宋体" w:hAnsi="宋体" w:eastAsia="宋体" w:cs="宋体"/>
          <w:b/>
          <w:bCs/>
          <w:color w:val="auto"/>
          <w:szCs w:val="32"/>
        </w:rPr>
      </w:pPr>
      <w:r>
        <w:rPr>
          <w:rFonts w:hint="eastAsia" w:ascii="仿宋" w:hAnsi="仿宋" w:eastAsia="仿宋" w:cs="仿宋"/>
          <w:b/>
          <w:bCs/>
          <w:color w:val="auto"/>
          <w:szCs w:val="32"/>
        </w:rPr>
        <w:t xml:space="preserve">2.校外实训基地 </w:t>
      </w:r>
      <w:r>
        <w:rPr>
          <w:rFonts w:ascii="宋体" w:hAnsi="宋体" w:eastAsia="宋体" w:cs="宋体"/>
          <w:b/>
          <w:bCs/>
          <w:color w:val="auto"/>
          <w:szCs w:val="32"/>
        </w:rPr>
        <w:t xml:space="preserve"> </w:t>
      </w:r>
    </w:p>
    <w:p>
      <w:pPr>
        <w:ind w:firstLine="640"/>
        <w:rPr>
          <w:rFonts w:ascii="仿宋" w:cs="仿宋"/>
          <w:color w:val="auto"/>
          <w:szCs w:val="32"/>
        </w:rPr>
      </w:pPr>
      <w:r>
        <w:rPr>
          <w:rFonts w:hint="eastAsia" w:ascii="仿宋" w:hAnsi="仿宋" w:cs="仿宋"/>
          <w:color w:val="auto"/>
          <w:szCs w:val="32"/>
        </w:rPr>
        <w:t>校外实训基地2个，分别与三江县佳韵茶业有限公司、益达（广东）教育科技服务有限公司开展校企合作，并签订校企合作协议。</w:t>
      </w:r>
    </w:p>
    <w:p>
      <w:pPr>
        <w:ind w:firstLine="640"/>
        <w:rPr>
          <w:rFonts w:ascii="仿宋" w:cs="仿宋"/>
          <w:color w:val="auto"/>
          <w:szCs w:val="32"/>
        </w:rPr>
      </w:pPr>
      <w:r>
        <w:rPr>
          <w:rFonts w:hint="eastAsia" w:ascii="仿宋" w:hAnsi="仿宋" w:cs="仿宋"/>
          <w:color w:val="auto"/>
          <w:szCs w:val="32"/>
        </w:rPr>
        <w:t>企业与学校建立校企合作工作机制，确保企业实训指导教师的真正落实；校外实训基地能够真正为学生提供顶岗实习的岗位，让学生参与到企业真实项目的实施过程中，使学生了解电子商务最前沿的理念和相关业务流程，尽快掌握相应岗位所需的基本技能与专业技术，取得实际工作经验，巩固、综合、强化实践能力，并能培养学生的团队协作精神、群体沟通技巧和组织协调能力等综合素质；企业应参与全面的课程建设，在课程实践环节上提供支持和服务，解决实践教学的薄弱环节；校外实训基地能够为“双师”素质教师提供培养平台，使教师掌握岗位技能，提高教师的实践动手能力和操作能力。</w:t>
      </w:r>
    </w:p>
    <w:p>
      <w:pPr>
        <w:pStyle w:val="3"/>
        <w:ind w:firstLine="643"/>
        <w:outlineLvl w:val="1"/>
        <w:rPr>
          <w:rFonts w:hint="eastAsia" w:ascii="楷体" w:hAnsi="楷体" w:eastAsia="楷体" w:cs="楷体"/>
          <w:color w:val="auto"/>
        </w:rPr>
      </w:pPr>
      <w:r>
        <w:rPr>
          <w:rFonts w:hint="eastAsia" w:ascii="楷体" w:hAnsi="楷体" w:eastAsia="楷体" w:cs="楷体"/>
          <w:color w:val="auto"/>
        </w:rPr>
        <w:t>（三）教学资源</w:t>
      </w:r>
    </w:p>
    <w:p>
      <w:pPr>
        <w:ind w:firstLine="640"/>
        <w:rPr>
          <w:rFonts w:ascii="仿宋" w:cs="仿宋"/>
          <w:color w:val="auto"/>
          <w:szCs w:val="32"/>
        </w:rPr>
      </w:pPr>
      <w:r>
        <w:rPr>
          <w:rFonts w:hint="eastAsia" w:ascii="仿宋" w:hAnsi="仿宋" w:cs="仿宋"/>
          <w:color w:val="auto"/>
          <w:szCs w:val="32"/>
        </w:rPr>
        <w:t>教材、图书和数字资源能够满足学生专业学习、教师专业教学研究、教学实施和社会服务需要。严格执行国家和区内关于教材选用的有关要求，健全本校教材选用制度。根据需要组织编写校本教材，开发教学资源。</w:t>
      </w:r>
    </w:p>
    <w:p>
      <w:pPr>
        <w:pStyle w:val="3"/>
        <w:ind w:firstLine="643"/>
        <w:outlineLvl w:val="1"/>
        <w:rPr>
          <w:rFonts w:hint="eastAsia" w:ascii="楷体" w:hAnsi="楷体" w:eastAsia="楷体" w:cs="楷体"/>
          <w:color w:val="auto"/>
        </w:rPr>
      </w:pPr>
      <w:r>
        <w:rPr>
          <w:rFonts w:hint="eastAsia" w:ascii="楷体" w:hAnsi="楷体" w:eastAsia="楷体" w:cs="楷体"/>
          <w:color w:val="auto"/>
        </w:rPr>
        <w:t>（四）教学方法。</w:t>
      </w:r>
    </w:p>
    <w:p>
      <w:pPr>
        <w:ind w:firstLine="643"/>
        <w:outlineLvl w:val="2"/>
        <w:rPr>
          <w:rFonts w:hint="eastAsia" w:ascii="仿宋" w:hAnsi="仿宋" w:eastAsia="仿宋" w:cs="仿宋"/>
          <w:b/>
          <w:bCs/>
          <w:color w:val="auto"/>
          <w:szCs w:val="32"/>
        </w:rPr>
      </w:pPr>
      <w:r>
        <w:rPr>
          <w:rFonts w:hint="eastAsia" w:ascii="仿宋" w:hAnsi="仿宋" w:eastAsia="仿宋" w:cs="仿宋"/>
          <w:b/>
          <w:bCs/>
          <w:color w:val="auto"/>
          <w:szCs w:val="32"/>
        </w:rPr>
        <w:t>1.职业道德教育</w:t>
      </w:r>
    </w:p>
    <w:p>
      <w:pPr>
        <w:ind w:firstLine="640"/>
        <w:rPr>
          <w:rFonts w:ascii="仿宋" w:cs="仿宋"/>
          <w:color w:val="auto"/>
          <w:szCs w:val="32"/>
        </w:rPr>
      </w:pPr>
      <w:r>
        <w:rPr>
          <w:rFonts w:hint="eastAsia" w:ascii="仿宋" w:hAnsi="仿宋" w:cs="仿宋"/>
          <w:color w:val="auto"/>
          <w:szCs w:val="32"/>
        </w:rPr>
        <w:t>紧紧围绕专业培养目标，贯彻“德育为先，育人为本”的原则，加强对学生的职业道德教育，培养学生爱岗敬业和团结协作精神，以及勤奋钻研的作风。</w:t>
      </w:r>
    </w:p>
    <w:p>
      <w:pPr>
        <w:ind w:firstLine="640"/>
        <w:rPr>
          <w:rFonts w:ascii="仿宋" w:cs="仿宋"/>
          <w:color w:val="auto"/>
          <w:szCs w:val="32"/>
        </w:rPr>
      </w:pPr>
      <w:r>
        <w:rPr>
          <w:rFonts w:hint="eastAsia"/>
          <w:color w:val="auto"/>
        </w:rPr>
        <w:t>采用理实一体化教学、案例教学、项目教学等方法，坚持学中做、做中学。</w:t>
      </w:r>
      <w:r>
        <w:rPr>
          <w:rFonts w:hint="eastAsia" w:ascii="仿宋" w:hAnsi="仿宋" w:cs="仿宋"/>
          <w:color w:val="auto"/>
          <w:szCs w:val="32"/>
        </w:rPr>
        <w:t xml:space="preserve"> </w:t>
      </w:r>
    </w:p>
    <w:p>
      <w:pPr>
        <w:ind w:firstLine="643"/>
        <w:outlineLvl w:val="2"/>
        <w:rPr>
          <w:rFonts w:hint="eastAsia" w:ascii="仿宋" w:hAnsi="仿宋" w:eastAsia="仿宋" w:cs="仿宋"/>
          <w:b/>
          <w:bCs/>
          <w:color w:val="auto"/>
          <w:szCs w:val="32"/>
        </w:rPr>
      </w:pPr>
      <w:r>
        <w:rPr>
          <w:rFonts w:hint="eastAsia" w:ascii="仿宋" w:hAnsi="仿宋" w:eastAsia="仿宋" w:cs="仿宋"/>
          <w:b/>
          <w:bCs/>
          <w:color w:val="auto"/>
          <w:szCs w:val="32"/>
        </w:rPr>
        <w:t xml:space="preserve">2.理论教学 </w:t>
      </w:r>
    </w:p>
    <w:p>
      <w:pPr>
        <w:ind w:firstLine="640" w:firstLineChars="0"/>
        <w:rPr>
          <w:rFonts w:ascii="仿宋" w:cs="仿宋"/>
          <w:color w:val="auto"/>
          <w:szCs w:val="32"/>
        </w:rPr>
      </w:pPr>
      <w:r>
        <w:rPr>
          <w:rFonts w:hint="eastAsia" w:ascii="仿宋" w:hAnsi="仿宋" w:cs="仿宋"/>
          <w:color w:val="auto"/>
          <w:szCs w:val="32"/>
        </w:rPr>
        <w:t xml:space="preserve">各课程围绕专业岗位技能展开理论教学，按照“必须、够用”与“拓宽知识面”相结合的原则，合理安排课程中理论知识内容，实现理论教学与技能实训的有机结合，重点突出，学以致用。 </w:t>
      </w:r>
      <w:r>
        <w:rPr>
          <w:rFonts w:ascii="仿宋" w:hAnsi="仿宋" w:cs="仿宋"/>
          <w:color w:val="auto"/>
          <w:szCs w:val="32"/>
        </w:rPr>
        <w:t xml:space="preserve"> </w:t>
      </w:r>
    </w:p>
    <w:p>
      <w:pPr>
        <w:ind w:firstLine="643"/>
        <w:outlineLvl w:val="2"/>
        <w:rPr>
          <w:rFonts w:hint="eastAsia" w:ascii="仿宋" w:hAnsi="仿宋" w:eastAsia="仿宋" w:cs="仿宋"/>
          <w:b/>
          <w:bCs/>
          <w:color w:val="auto"/>
          <w:szCs w:val="32"/>
        </w:rPr>
      </w:pPr>
      <w:r>
        <w:rPr>
          <w:rFonts w:hint="eastAsia" w:ascii="仿宋" w:hAnsi="仿宋" w:eastAsia="仿宋" w:cs="仿宋"/>
          <w:b/>
          <w:bCs/>
          <w:color w:val="auto"/>
          <w:szCs w:val="32"/>
        </w:rPr>
        <w:t>3.实践教学</w:t>
      </w:r>
    </w:p>
    <w:p>
      <w:pPr>
        <w:ind w:firstLine="640"/>
        <w:rPr>
          <w:rFonts w:ascii="仿宋" w:cs="仿宋"/>
          <w:color w:val="auto"/>
          <w:szCs w:val="32"/>
        </w:rPr>
      </w:pPr>
      <w:r>
        <w:rPr>
          <w:rFonts w:hint="eastAsia" w:ascii="仿宋" w:hAnsi="仿宋" w:cs="仿宋"/>
          <w:color w:val="auto"/>
          <w:szCs w:val="32"/>
        </w:rPr>
        <w:t xml:space="preserve">通过教学实习、综合实践、岗前实训、顶岗实习等实践教学环节，完成教学任务。结合“双证”培养目标，建立理实一体的实践教学体系。在实践教学过程中，培养学生组织纪律、劳动观点、集体主义、科学严谨和吃苦耐劳的精神。 </w:t>
      </w:r>
      <w:r>
        <w:rPr>
          <w:rFonts w:ascii="仿宋" w:hAnsi="仿宋" w:cs="仿宋"/>
          <w:color w:val="auto"/>
          <w:szCs w:val="32"/>
        </w:rPr>
        <w:t xml:space="preserve"> </w:t>
      </w:r>
    </w:p>
    <w:p>
      <w:pPr>
        <w:ind w:firstLine="643"/>
        <w:outlineLvl w:val="2"/>
        <w:rPr>
          <w:rFonts w:hint="eastAsia" w:ascii="仿宋" w:hAnsi="仿宋" w:eastAsia="仿宋" w:cs="仿宋"/>
          <w:b/>
          <w:bCs/>
          <w:color w:val="auto"/>
          <w:szCs w:val="32"/>
        </w:rPr>
      </w:pPr>
      <w:r>
        <w:rPr>
          <w:rFonts w:hint="eastAsia" w:ascii="仿宋" w:hAnsi="仿宋" w:eastAsia="仿宋" w:cs="仿宋"/>
          <w:b/>
          <w:bCs/>
          <w:color w:val="auto"/>
          <w:szCs w:val="32"/>
        </w:rPr>
        <w:t xml:space="preserve">4.项目课程教学特点和原则  </w:t>
      </w:r>
    </w:p>
    <w:p>
      <w:pPr>
        <w:ind w:firstLine="640"/>
        <w:rPr>
          <w:rFonts w:ascii="仿宋" w:cs="仿宋"/>
          <w:color w:val="auto"/>
          <w:szCs w:val="32"/>
        </w:rPr>
      </w:pPr>
      <w:r>
        <w:rPr>
          <w:rFonts w:hint="eastAsia" w:ascii="仿宋" w:hAnsi="仿宋" w:cs="仿宋"/>
          <w:color w:val="auto"/>
          <w:szCs w:val="32"/>
        </w:rPr>
        <w:t>（</w:t>
      </w:r>
      <w:r>
        <w:rPr>
          <w:rFonts w:ascii="仿宋" w:hAnsi="仿宋" w:cs="仿宋"/>
          <w:color w:val="auto"/>
          <w:szCs w:val="32"/>
        </w:rPr>
        <w:t>1</w:t>
      </w:r>
      <w:r>
        <w:rPr>
          <w:rFonts w:hint="eastAsia" w:ascii="仿宋" w:hAnsi="仿宋" w:cs="仿宋"/>
          <w:color w:val="auto"/>
          <w:szCs w:val="32"/>
        </w:rPr>
        <w:t xml:space="preserve">）确立以学生为本的教学理念，按照学生学习兴趣和专业需要组织教学活动，并开发校本教材。 </w:t>
      </w:r>
    </w:p>
    <w:p>
      <w:pPr>
        <w:ind w:firstLine="640"/>
        <w:rPr>
          <w:rFonts w:ascii="仿宋" w:cs="仿宋"/>
          <w:color w:val="auto"/>
          <w:szCs w:val="32"/>
        </w:rPr>
      </w:pPr>
      <w:r>
        <w:rPr>
          <w:rFonts w:hint="eastAsia" w:ascii="仿宋" w:hAnsi="仿宋" w:cs="仿宋"/>
          <w:color w:val="auto"/>
          <w:szCs w:val="32"/>
        </w:rPr>
        <w:t>（</w:t>
      </w:r>
      <w:r>
        <w:rPr>
          <w:rFonts w:ascii="仿宋" w:hAnsi="仿宋" w:cs="仿宋"/>
          <w:color w:val="auto"/>
          <w:szCs w:val="32"/>
        </w:rPr>
        <w:t>2</w:t>
      </w:r>
      <w:r>
        <w:rPr>
          <w:rFonts w:hint="eastAsia" w:ascii="仿宋" w:hAnsi="仿宋" w:cs="仿宋"/>
          <w:color w:val="auto"/>
          <w:szCs w:val="32"/>
        </w:rPr>
        <w:t>）重视学生的实践体验，积极创设项目课程实施情境，促进学生实践能力的形成和综合素质的提高。</w:t>
      </w:r>
    </w:p>
    <w:p>
      <w:pPr>
        <w:ind w:firstLine="640"/>
        <w:rPr>
          <w:rFonts w:ascii="仿宋" w:cs="仿宋"/>
          <w:color w:val="auto"/>
          <w:szCs w:val="32"/>
        </w:rPr>
      </w:pPr>
      <w:r>
        <w:rPr>
          <w:rFonts w:hint="eastAsia" w:ascii="仿宋" w:hAnsi="仿宋" w:cs="仿宋"/>
          <w:color w:val="auto"/>
          <w:szCs w:val="32"/>
        </w:rPr>
        <w:t>（</w:t>
      </w:r>
      <w:r>
        <w:rPr>
          <w:rFonts w:ascii="仿宋" w:hAnsi="仿宋" w:cs="仿宋"/>
          <w:color w:val="auto"/>
          <w:szCs w:val="32"/>
        </w:rPr>
        <w:t>3</w:t>
      </w:r>
      <w:r>
        <w:rPr>
          <w:rFonts w:hint="eastAsia" w:ascii="仿宋" w:hAnsi="仿宋" w:cs="仿宋"/>
          <w:color w:val="auto"/>
          <w:szCs w:val="32"/>
        </w:rPr>
        <w:t xml:space="preserve">）根据职业院校学生的心理特点和职业能力形成规律，激发学生学习兴趣，帮助学生树立学习的成就感和自信心。 </w:t>
      </w:r>
    </w:p>
    <w:p>
      <w:pPr>
        <w:ind w:firstLine="640"/>
        <w:rPr>
          <w:rFonts w:ascii="仿宋" w:cs="仿宋"/>
          <w:color w:val="auto"/>
          <w:szCs w:val="32"/>
        </w:rPr>
      </w:pPr>
      <w:r>
        <w:rPr>
          <w:rFonts w:hint="eastAsia" w:ascii="仿宋" w:hAnsi="仿宋" w:cs="仿宋"/>
          <w:color w:val="auto"/>
          <w:szCs w:val="32"/>
        </w:rPr>
        <w:t>（</w:t>
      </w:r>
      <w:r>
        <w:rPr>
          <w:rFonts w:ascii="仿宋" w:hAnsi="仿宋" w:cs="仿宋"/>
          <w:color w:val="auto"/>
          <w:szCs w:val="32"/>
        </w:rPr>
        <w:t>4</w:t>
      </w:r>
      <w:r>
        <w:rPr>
          <w:rFonts w:hint="eastAsia" w:ascii="仿宋" w:hAnsi="仿宋" w:cs="仿宋"/>
          <w:color w:val="auto"/>
          <w:szCs w:val="32"/>
        </w:rPr>
        <w:t>）重视学生在实践教学中的表现，并对其进行考核。</w:t>
      </w:r>
    </w:p>
    <w:p>
      <w:pPr>
        <w:pStyle w:val="3"/>
        <w:ind w:firstLine="643"/>
        <w:outlineLvl w:val="1"/>
        <w:rPr>
          <w:rFonts w:hint="eastAsia" w:ascii="楷体" w:hAnsi="楷体" w:eastAsia="楷体" w:cs="楷体"/>
          <w:color w:val="auto"/>
        </w:rPr>
      </w:pPr>
      <w:r>
        <w:rPr>
          <w:rFonts w:hint="eastAsia" w:ascii="楷体" w:hAnsi="楷体" w:eastAsia="楷体" w:cs="楷体"/>
          <w:color w:val="auto"/>
        </w:rPr>
        <w:t>（五）学习评价</w:t>
      </w:r>
    </w:p>
    <w:p>
      <w:pPr>
        <w:snapToGrid/>
        <w:ind w:firstLine="640"/>
        <w:rPr>
          <w:rFonts w:ascii="仿宋" w:hAnsi="仿宋" w:cs="仿宋"/>
          <w:color w:val="auto"/>
          <w:szCs w:val="32"/>
        </w:rPr>
      </w:pPr>
      <w:r>
        <w:rPr>
          <w:rFonts w:hint="eastAsia" w:ascii="仿宋" w:hAnsi="仿宋" w:cs="仿宋"/>
          <w:color w:val="auto"/>
          <w:szCs w:val="32"/>
        </w:rPr>
        <w:t>由学校、学生、用人单位三方共同实施教学评价，评价内容包括学生专业综合实践能力、“双证”的获取率和毕业生就业率及就业质量，专兼职教师教学质量，逐步形成校企合作、工学结合人才培养模式下多元化教学质量评价标准体系。</w:t>
      </w:r>
    </w:p>
    <w:p>
      <w:pPr>
        <w:ind w:firstLine="643"/>
        <w:outlineLvl w:val="2"/>
        <w:rPr>
          <w:rFonts w:hint="eastAsia" w:ascii="仿宋" w:hAnsi="仿宋" w:eastAsia="仿宋" w:cs="仿宋"/>
          <w:b/>
          <w:bCs/>
          <w:color w:val="auto"/>
          <w:szCs w:val="32"/>
        </w:rPr>
      </w:pPr>
      <w:r>
        <w:rPr>
          <w:rFonts w:hint="eastAsia" w:ascii="仿宋" w:hAnsi="仿宋" w:eastAsia="仿宋" w:cs="仿宋"/>
          <w:b/>
          <w:bCs/>
          <w:color w:val="auto"/>
          <w:szCs w:val="32"/>
        </w:rPr>
        <w:t>1、课堂教学效果评价方式</w:t>
      </w:r>
    </w:p>
    <w:p>
      <w:pPr>
        <w:snapToGrid/>
        <w:ind w:firstLine="640"/>
        <w:rPr>
          <w:rFonts w:ascii="仿宋" w:hAnsi="仿宋" w:cs="仿宋"/>
          <w:color w:val="auto"/>
          <w:szCs w:val="32"/>
        </w:rPr>
      </w:pPr>
      <w:r>
        <w:rPr>
          <w:rFonts w:hint="eastAsia" w:ascii="仿宋" w:hAnsi="仿宋" w:cs="仿宋"/>
          <w:color w:val="auto"/>
          <w:szCs w:val="32"/>
        </w:rPr>
        <w:t>采取灵活多样的评价方式，主要包括笔试、作业、课堂提问、课堂出勤、上机操作考核以及参加各类型专业技能竞赛的成绩等。</w:t>
      </w:r>
    </w:p>
    <w:p>
      <w:pPr>
        <w:ind w:firstLine="643"/>
        <w:outlineLvl w:val="2"/>
        <w:rPr>
          <w:rFonts w:hint="eastAsia" w:ascii="仿宋" w:hAnsi="仿宋" w:eastAsia="仿宋" w:cs="仿宋"/>
          <w:b/>
          <w:bCs/>
          <w:color w:val="auto"/>
          <w:szCs w:val="32"/>
        </w:rPr>
      </w:pPr>
      <w:r>
        <w:rPr>
          <w:rFonts w:hint="eastAsia" w:ascii="仿宋" w:hAnsi="仿宋" w:eastAsia="仿宋" w:cs="仿宋"/>
          <w:b/>
          <w:bCs/>
          <w:color w:val="auto"/>
          <w:szCs w:val="32"/>
        </w:rPr>
        <w:t>2、实训实习效果评价方式</w:t>
      </w:r>
    </w:p>
    <w:p>
      <w:pPr>
        <w:keepNext/>
        <w:snapToGrid/>
        <w:ind w:firstLine="640"/>
        <w:outlineLvl w:val="3"/>
        <w:rPr>
          <w:rFonts w:ascii="仿宋" w:hAnsi="仿宋" w:cs="仿宋"/>
          <w:color w:val="auto"/>
          <w:szCs w:val="32"/>
        </w:rPr>
      </w:pPr>
      <w:r>
        <w:rPr>
          <w:rFonts w:hint="eastAsia" w:ascii="仿宋" w:hAnsi="仿宋" w:cs="仿宋"/>
          <w:color w:val="auto"/>
          <w:szCs w:val="32"/>
        </w:rPr>
        <w:t>（1）实训实习评价</w:t>
      </w:r>
    </w:p>
    <w:p>
      <w:pPr>
        <w:snapToGrid/>
        <w:ind w:firstLine="640"/>
        <w:rPr>
          <w:rFonts w:ascii="仿宋" w:hAnsi="仿宋" w:cs="仿宋"/>
          <w:color w:val="auto"/>
          <w:szCs w:val="32"/>
        </w:rPr>
      </w:pPr>
      <w:r>
        <w:rPr>
          <w:rFonts w:hint="eastAsia" w:ascii="仿宋" w:hAnsi="仿宋" w:cs="仿宋"/>
          <w:color w:val="auto"/>
          <w:szCs w:val="32"/>
        </w:rPr>
        <w:t>采用实习报告与实践操作水平相结合等形式，如实反映学生对各项实训实习项目的技能水平。</w:t>
      </w:r>
    </w:p>
    <w:p>
      <w:pPr>
        <w:keepNext/>
        <w:snapToGrid/>
        <w:ind w:firstLine="640"/>
        <w:outlineLvl w:val="3"/>
        <w:rPr>
          <w:rFonts w:ascii="仿宋" w:hAnsi="仿宋" w:cs="仿宋"/>
          <w:color w:val="auto"/>
          <w:szCs w:val="32"/>
        </w:rPr>
      </w:pPr>
      <w:r>
        <w:rPr>
          <w:rFonts w:hint="eastAsia" w:ascii="仿宋" w:hAnsi="仿宋" w:cs="仿宋"/>
          <w:color w:val="auto"/>
          <w:szCs w:val="32"/>
        </w:rPr>
        <w:t>（2）顶岗实习评价</w:t>
      </w:r>
    </w:p>
    <w:p>
      <w:pPr>
        <w:snapToGrid/>
        <w:ind w:firstLine="640"/>
        <w:rPr>
          <w:rFonts w:ascii="仿宋" w:hAnsi="仿宋" w:cs="仿宋"/>
          <w:color w:val="auto"/>
          <w:szCs w:val="32"/>
        </w:rPr>
      </w:pPr>
      <w:r>
        <w:rPr>
          <w:rFonts w:hint="eastAsia" w:ascii="仿宋" w:hAnsi="仿宋" w:cs="仿宋"/>
          <w:color w:val="auto"/>
          <w:szCs w:val="32"/>
        </w:rPr>
        <w:t>顶岗实习考核方面包括实习日志、实习报告、实习单位综合评价鉴定等多层次、多方面的评价方式。</w:t>
      </w:r>
    </w:p>
    <w:p>
      <w:pPr>
        <w:pStyle w:val="3"/>
        <w:ind w:firstLine="643"/>
        <w:outlineLvl w:val="1"/>
        <w:rPr>
          <w:rFonts w:hint="eastAsia" w:ascii="楷体" w:hAnsi="楷体" w:eastAsia="楷体" w:cs="楷体"/>
          <w:color w:val="auto"/>
        </w:rPr>
      </w:pPr>
      <w:r>
        <w:rPr>
          <w:rFonts w:hint="eastAsia" w:ascii="楷体" w:hAnsi="楷体" w:eastAsia="楷体" w:cs="楷体"/>
          <w:color w:val="auto"/>
        </w:rPr>
        <w:t>（六）质量管理</w:t>
      </w:r>
    </w:p>
    <w:p>
      <w:pPr>
        <w:ind w:firstLine="640"/>
        <w:rPr>
          <w:rFonts w:ascii="宋体" w:eastAsia="宋体" w:cs="宋体"/>
          <w:color w:val="auto"/>
          <w:kern w:val="0"/>
          <w:sz w:val="24"/>
          <w:szCs w:val="24"/>
        </w:rPr>
      </w:pPr>
      <w:r>
        <w:rPr>
          <w:rFonts w:hint="eastAsia" w:ascii="仿宋" w:hAnsi="仿宋" w:cs="仿宋"/>
          <w:color w:val="auto"/>
          <w:szCs w:val="32"/>
        </w:rPr>
        <w:t>为保证顶岗实习的质量，企业、行业专家与指导教师共同制定和执行顶岗实习管理和考核体系，加强对人才培养过程的管理，完善校企双方教学质量保障机制，建立保证教学质量不断提高的长效机制。</w:t>
      </w:r>
    </w:p>
    <w:p>
      <w:pPr>
        <w:pStyle w:val="2"/>
        <w:keepNext/>
        <w:keepLines/>
        <w:pageBreakBefore w:val="0"/>
        <w:widowControl w:val="0"/>
        <w:kinsoku/>
        <w:wordWrap/>
        <w:overflowPunct/>
        <w:topLinePunct w:val="0"/>
        <w:autoSpaceDE/>
        <w:autoSpaceDN/>
        <w:bidi w:val="0"/>
        <w:adjustRightInd/>
        <w:snapToGrid/>
        <w:spacing w:before="156" w:beforeLines="50" w:line="240" w:lineRule="atLeast"/>
        <w:ind w:firstLine="707" w:firstLineChars="220"/>
        <w:textAlignment w:val="auto"/>
        <w:rPr>
          <w:rFonts w:hint="eastAsia" w:ascii="Calibri" w:hAnsi="Calibri"/>
          <w:color w:val="auto"/>
        </w:rPr>
      </w:pPr>
      <w:r>
        <w:rPr>
          <w:rFonts w:hint="eastAsia" w:ascii="Calibri" w:hAnsi="Calibri"/>
          <w:color w:val="auto"/>
        </w:rPr>
        <w:t>十、毕业要求</w:t>
      </w:r>
    </w:p>
    <w:p>
      <w:pPr>
        <w:ind w:firstLine="640" w:firstLineChars="200"/>
        <w:rPr>
          <w:rFonts w:ascii="Calibri" w:hAnsi="Calibri" w:eastAsia="仿宋"/>
          <w:color w:val="000000" w:themeColor="text1"/>
          <w:sz w:val="32"/>
          <w:szCs w:val="22"/>
          <w14:textFill>
            <w14:solidFill>
              <w14:schemeClr w14:val="tx1"/>
            </w14:solidFill>
          </w14:textFill>
        </w:rPr>
      </w:pPr>
      <w:r>
        <w:rPr>
          <w:rFonts w:hint="eastAsia" w:ascii="Calibri" w:hAnsi="Calibri" w:eastAsia="仿宋"/>
          <w:color w:val="000000" w:themeColor="text1"/>
          <w:sz w:val="32"/>
          <w:szCs w:val="22"/>
          <w14:textFill>
            <w14:solidFill>
              <w14:schemeClr w14:val="tx1"/>
            </w14:solidFill>
          </w14:textFill>
        </w:rPr>
        <w:t>学生通过</w:t>
      </w:r>
      <w:r>
        <w:rPr>
          <w:rFonts w:ascii="Calibri" w:hAnsi="Calibri" w:eastAsia="仿宋"/>
          <w:color w:val="000000" w:themeColor="text1"/>
          <w:sz w:val="32"/>
          <w:szCs w:val="22"/>
          <w14:textFill>
            <w14:solidFill>
              <w14:schemeClr w14:val="tx1"/>
            </w14:solidFill>
          </w14:textFill>
        </w:rPr>
        <w:t>2</w:t>
      </w:r>
      <w:r>
        <w:rPr>
          <w:rFonts w:hint="eastAsia" w:ascii="Calibri" w:hAnsi="Calibri" w:eastAsia="仿宋"/>
          <w:color w:val="000000" w:themeColor="text1"/>
          <w:sz w:val="32"/>
          <w:szCs w:val="22"/>
          <w14:textFill>
            <w14:solidFill>
              <w14:schemeClr w14:val="tx1"/>
            </w14:solidFill>
          </w14:textFill>
        </w:rPr>
        <w:t>年的在校学习，修满专业人才培养方案所规定的学分，达到本专业人才培养目标和培养规格的要求。综合考察学生在校期间的各种表现，如操行、实践活动、考证等，并将考核情况作为是否准予毕业的重要依据。</w:t>
      </w:r>
    </w:p>
    <w:p>
      <w:pPr>
        <w:ind w:firstLine="640"/>
        <w:rPr>
          <w:color w:val="auto"/>
        </w:rPr>
      </w:pPr>
      <w:r>
        <w:rPr>
          <w:color w:val="auto"/>
        </w:rPr>
        <w:t xml:space="preserve"> </w:t>
      </w:r>
      <w:bookmarkStart w:id="0" w:name="_GoBack"/>
      <w:bookmarkEnd w:id="0"/>
    </w:p>
    <w:p>
      <w:pPr>
        <w:ind w:firstLine="0" w:firstLineChars="0"/>
        <w:rPr>
          <w:color w:val="auto"/>
        </w:rPr>
      </w:pPr>
    </w:p>
    <w:p>
      <w:pPr>
        <w:ind w:firstLine="0" w:firstLineChars="0"/>
        <w:jc w:val="right"/>
        <w:rPr>
          <w:rFonts w:ascii="仿宋" w:cs="仿宋"/>
          <w:color w:val="auto"/>
        </w:rPr>
      </w:pPr>
      <w:r>
        <w:rPr>
          <w:rFonts w:ascii="仿宋" w:hAnsi="仿宋"/>
          <w:color w:val="auto"/>
          <w:szCs w:val="32"/>
        </w:rPr>
        <w:t xml:space="preserve">                               </w:t>
      </w:r>
      <w:r>
        <w:rPr>
          <w:rFonts w:hint="eastAsia" w:ascii="仿宋" w:hAnsi="仿宋"/>
          <w:color w:val="auto"/>
          <w:szCs w:val="32"/>
        </w:rPr>
        <w:t>广西工商学校</w:t>
      </w:r>
    </w:p>
    <w:p>
      <w:pPr>
        <w:ind w:firstLine="0" w:firstLineChars="0"/>
        <w:jc w:val="right"/>
        <w:rPr>
          <w:rFonts w:ascii="仿宋" w:cs="仿宋"/>
          <w:color w:val="auto"/>
        </w:rPr>
      </w:pPr>
      <w:r>
        <w:rPr>
          <w:rFonts w:ascii="仿宋" w:hAnsi="仿宋" w:cs="仿宋"/>
          <w:color w:val="auto"/>
        </w:rPr>
        <w:t>20</w:t>
      </w:r>
      <w:r>
        <w:rPr>
          <w:rFonts w:hint="eastAsia" w:ascii="仿宋" w:hAnsi="仿宋" w:cs="仿宋"/>
          <w:color w:val="auto"/>
        </w:rPr>
        <w:t>2</w:t>
      </w:r>
      <w:r>
        <w:rPr>
          <w:rFonts w:hint="eastAsia" w:ascii="仿宋" w:hAnsi="仿宋" w:cs="仿宋"/>
          <w:color w:val="auto"/>
          <w:lang w:val="en-US" w:eastAsia="zh-CN"/>
        </w:rPr>
        <w:t>1</w:t>
      </w:r>
      <w:r>
        <w:rPr>
          <w:rFonts w:hint="eastAsia" w:ascii="仿宋" w:hAnsi="仿宋" w:cs="仿宋"/>
          <w:color w:val="auto"/>
        </w:rPr>
        <w:t>年</w:t>
      </w:r>
      <w:r>
        <w:rPr>
          <w:rFonts w:hint="eastAsia" w:ascii="仿宋" w:hAnsi="仿宋" w:cs="仿宋"/>
          <w:color w:val="auto"/>
          <w:lang w:val="en-US" w:eastAsia="zh-CN"/>
        </w:rPr>
        <w:t>5</w:t>
      </w:r>
      <w:r>
        <w:rPr>
          <w:rFonts w:hint="eastAsia" w:ascii="仿宋" w:hAnsi="仿宋" w:cs="仿宋"/>
          <w:color w:val="auto"/>
        </w:rPr>
        <w:t>月</w:t>
      </w:r>
    </w:p>
    <w:sectPr>
      <w:headerReference r:id="rId5" w:type="first"/>
      <w:footerReference r:id="rId8" w:type="first"/>
      <w:headerReference r:id="rId3" w:type="default"/>
      <w:footerReference r:id="rId6" w:type="default"/>
      <w:headerReference r:id="rId4" w:type="even"/>
      <w:footerReference r:id="rId7" w:type="even"/>
      <w:pgSz w:w="11906" w:h="16838"/>
      <w:pgMar w:top="2098" w:right="1474" w:bottom="1984" w:left="1587" w:header="851" w:footer="992"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方正小标宋简体">
    <w:panose1 w:val="03000509000000000000"/>
    <w:charset w:val="86"/>
    <w:family w:val="auto"/>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r>
      <mc:AlternateContent>
        <mc:Choice Requires="wps">
          <w:drawing>
            <wp:anchor distT="0" distB="0" distL="114300" distR="114300" simplePos="0" relativeHeight="102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ind w:firstLine="360"/>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20</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10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5"/>
                      <w:ind w:firstLine="360"/>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20</w:t>
                    </w:r>
                    <w:r>
                      <w:rPr>
                        <w:rFonts w:hint="eastAsia" w:ascii="宋体" w:hAnsi="宋体" w:eastAsia="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ind w:firstLine="0" w:firstLineChars="0"/>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NotTrackMoves/>
  <w:documentProtection w:enforcement="0"/>
  <w:defaultTabStop w:val="420"/>
  <w:drawingGridVerticalSpacing w:val="220"/>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2590"/>
    <w:rsid w:val="00002938"/>
    <w:rsid w:val="00003F54"/>
    <w:rsid w:val="000243F4"/>
    <w:rsid w:val="000253F1"/>
    <w:rsid w:val="00030117"/>
    <w:rsid w:val="000305CD"/>
    <w:rsid w:val="000375B7"/>
    <w:rsid w:val="00055F27"/>
    <w:rsid w:val="00063028"/>
    <w:rsid w:val="00070D07"/>
    <w:rsid w:val="000848DD"/>
    <w:rsid w:val="000A6279"/>
    <w:rsid w:val="000A64CE"/>
    <w:rsid w:val="000B4E1D"/>
    <w:rsid w:val="000D01B7"/>
    <w:rsid w:val="000D1617"/>
    <w:rsid w:val="000E2F85"/>
    <w:rsid w:val="000F1127"/>
    <w:rsid w:val="000F2E93"/>
    <w:rsid w:val="000F4735"/>
    <w:rsid w:val="00101991"/>
    <w:rsid w:val="00111EC4"/>
    <w:rsid w:val="00113B4C"/>
    <w:rsid w:val="00114AAE"/>
    <w:rsid w:val="0011610A"/>
    <w:rsid w:val="001244E9"/>
    <w:rsid w:val="0014754C"/>
    <w:rsid w:val="00151471"/>
    <w:rsid w:val="0016700C"/>
    <w:rsid w:val="00176299"/>
    <w:rsid w:val="001822E2"/>
    <w:rsid w:val="0019056B"/>
    <w:rsid w:val="001921EB"/>
    <w:rsid w:val="00193BD4"/>
    <w:rsid w:val="001B3E58"/>
    <w:rsid w:val="001C230F"/>
    <w:rsid w:val="001C6CB9"/>
    <w:rsid w:val="001C70DB"/>
    <w:rsid w:val="001D1FEB"/>
    <w:rsid w:val="001D678F"/>
    <w:rsid w:val="001E06C8"/>
    <w:rsid w:val="001E2D01"/>
    <w:rsid w:val="00207A28"/>
    <w:rsid w:val="0021198F"/>
    <w:rsid w:val="00215F08"/>
    <w:rsid w:val="002167A6"/>
    <w:rsid w:val="0022765F"/>
    <w:rsid w:val="0023685D"/>
    <w:rsid w:val="002533EA"/>
    <w:rsid w:val="00256579"/>
    <w:rsid w:val="002579D2"/>
    <w:rsid w:val="002624E7"/>
    <w:rsid w:val="00264B2A"/>
    <w:rsid w:val="002878D7"/>
    <w:rsid w:val="00295DA6"/>
    <w:rsid w:val="00297495"/>
    <w:rsid w:val="002C4DB1"/>
    <w:rsid w:val="002C5B04"/>
    <w:rsid w:val="002D5140"/>
    <w:rsid w:val="002D7CBE"/>
    <w:rsid w:val="002F4396"/>
    <w:rsid w:val="002F4513"/>
    <w:rsid w:val="002F4531"/>
    <w:rsid w:val="003108F2"/>
    <w:rsid w:val="00313337"/>
    <w:rsid w:val="003150AC"/>
    <w:rsid w:val="003318BC"/>
    <w:rsid w:val="0033326E"/>
    <w:rsid w:val="003339AC"/>
    <w:rsid w:val="0034677A"/>
    <w:rsid w:val="003504A2"/>
    <w:rsid w:val="00353920"/>
    <w:rsid w:val="00354D0C"/>
    <w:rsid w:val="003567F4"/>
    <w:rsid w:val="0036343A"/>
    <w:rsid w:val="0037386A"/>
    <w:rsid w:val="003860EE"/>
    <w:rsid w:val="003928D6"/>
    <w:rsid w:val="003C2642"/>
    <w:rsid w:val="003D1057"/>
    <w:rsid w:val="003D17AD"/>
    <w:rsid w:val="003D2073"/>
    <w:rsid w:val="003E0A70"/>
    <w:rsid w:val="003E5656"/>
    <w:rsid w:val="003F0337"/>
    <w:rsid w:val="003F3E17"/>
    <w:rsid w:val="00401201"/>
    <w:rsid w:val="00404293"/>
    <w:rsid w:val="00412DE5"/>
    <w:rsid w:val="0041731C"/>
    <w:rsid w:val="00425DB7"/>
    <w:rsid w:val="00427989"/>
    <w:rsid w:val="00431A18"/>
    <w:rsid w:val="00467475"/>
    <w:rsid w:val="00477583"/>
    <w:rsid w:val="0048476D"/>
    <w:rsid w:val="00490747"/>
    <w:rsid w:val="004A73CE"/>
    <w:rsid w:val="004C6C06"/>
    <w:rsid w:val="004D087A"/>
    <w:rsid w:val="004D1CE6"/>
    <w:rsid w:val="004D55C9"/>
    <w:rsid w:val="004E0D99"/>
    <w:rsid w:val="004E320E"/>
    <w:rsid w:val="00500630"/>
    <w:rsid w:val="00517429"/>
    <w:rsid w:val="005249D0"/>
    <w:rsid w:val="00525B85"/>
    <w:rsid w:val="00540483"/>
    <w:rsid w:val="00554A7B"/>
    <w:rsid w:val="00556AD0"/>
    <w:rsid w:val="00561DB9"/>
    <w:rsid w:val="005703AE"/>
    <w:rsid w:val="0058279B"/>
    <w:rsid w:val="00584033"/>
    <w:rsid w:val="00593CE4"/>
    <w:rsid w:val="005967F3"/>
    <w:rsid w:val="005A5665"/>
    <w:rsid w:val="005F0B2F"/>
    <w:rsid w:val="005F6700"/>
    <w:rsid w:val="00602864"/>
    <w:rsid w:val="0062311E"/>
    <w:rsid w:val="00630086"/>
    <w:rsid w:val="00665B62"/>
    <w:rsid w:val="00673456"/>
    <w:rsid w:val="00673CAF"/>
    <w:rsid w:val="006A1063"/>
    <w:rsid w:val="006A5A2A"/>
    <w:rsid w:val="006B55F4"/>
    <w:rsid w:val="006B7101"/>
    <w:rsid w:val="006C253D"/>
    <w:rsid w:val="006C5C56"/>
    <w:rsid w:val="006D16CC"/>
    <w:rsid w:val="006D3E99"/>
    <w:rsid w:val="006D4B0E"/>
    <w:rsid w:val="006D63E7"/>
    <w:rsid w:val="006D686A"/>
    <w:rsid w:val="006F0993"/>
    <w:rsid w:val="006F2E9C"/>
    <w:rsid w:val="006F466E"/>
    <w:rsid w:val="006F5B10"/>
    <w:rsid w:val="007026D2"/>
    <w:rsid w:val="00703071"/>
    <w:rsid w:val="00707A0D"/>
    <w:rsid w:val="00711094"/>
    <w:rsid w:val="00720082"/>
    <w:rsid w:val="00720D52"/>
    <w:rsid w:val="00736791"/>
    <w:rsid w:val="007463DA"/>
    <w:rsid w:val="00750249"/>
    <w:rsid w:val="007644B8"/>
    <w:rsid w:val="00767B48"/>
    <w:rsid w:val="007706B6"/>
    <w:rsid w:val="00770EB5"/>
    <w:rsid w:val="00772640"/>
    <w:rsid w:val="0077382B"/>
    <w:rsid w:val="00776E9B"/>
    <w:rsid w:val="00776FF6"/>
    <w:rsid w:val="00780C6A"/>
    <w:rsid w:val="00782462"/>
    <w:rsid w:val="0078646D"/>
    <w:rsid w:val="00792D5A"/>
    <w:rsid w:val="00793276"/>
    <w:rsid w:val="007977BA"/>
    <w:rsid w:val="007A2AE9"/>
    <w:rsid w:val="007B0151"/>
    <w:rsid w:val="007B0D54"/>
    <w:rsid w:val="007C6392"/>
    <w:rsid w:val="007C7657"/>
    <w:rsid w:val="007E173C"/>
    <w:rsid w:val="007E5FF3"/>
    <w:rsid w:val="007F0EB3"/>
    <w:rsid w:val="007F3F2A"/>
    <w:rsid w:val="00832DF6"/>
    <w:rsid w:val="008405BD"/>
    <w:rsid w:val="00840D19"/>
    <w:rsid w:val="008466B1"/>
    <w:rsid w:val="00880E72"/>
    <w:rsid w:val="008858DF"/>
    <w:rsid w:val="00895287"/>
    <w:rsid w:val="008B54B2"/>
    <w:rsid w:val="008B7406"/>
    <w:rsid w:val="008B763B"/>
    <w:rsid w:val="008C0DD6"/>
    <w:rsid w:val="008C4D1E"/>
    <w:rsid w:val="008E3CF8"/>
    <w:rsid w:val="008F55A5"/>
    <w:rsid w:val="008F715A"/>
    <w:rsid w:val="00907211"/>
    <w:rsid w:val="00915A4B"/>
    <w:rsid w:val="00930EFA"/>
    <w:rsid w:val="00931A69"/>
    <w:rsid w:val="00936371"/>
    <w:rsid w:val="0094552C"/>
    <w:rsid w:val="00952DBA"/>
    <w:rsid w:val="00956627"/>
    <w:rsid w:val="00970247"/>
    <w:rsid w:val="0098318F"/>
    <w:rsid w:val="009934F2"/>
    <w:rsid w:val="009971E6"/>
    <w:rsid w:val="00997A49"/>
    <w:rsid w:val="009B147A"/>
    <w:rsid w:val="009D4429"/>
    <w:rsid w:val="009E0902"/>
    <w:rsid w:val="009E09A2"/>
    <w:rsid w:val="009F5F24"/>
    <w:rsid w:val="00A05AE8"/>
    <w:rsid w:val="00A070C0"/>
    <w:rsid w:val="00A130FE"/>
    <w:rsid w:val="00A20A2D"/>
    <w:rsid w:val="00A470AB"/>
    <w:rsid w:val="00A55974"/>
    <w:rsid w:val="00A606E7"/>
    <w:rsid w:val="00A75CC7"/>
    <w:rsid w:val="00A86A25"/>
    <w:rsid w:val="00A86BAB"/>
    <w:rsid w:val="00A9520B"/>
    <w:rsid w:val="00A95D8F"/>
    <w:rsid w:val="00AD4776"/>
    <w:rsid w:val="00AD700F"/>
    <w:rsid w:val="00AE3488"/>
    <w:rsid w:val="00AE7E3F"/>
    <w:rsid w:val="00AF56BB"/>
    <w:rsid w:val="00B03831"/>
    <w:rsid w:val="00B06285"/>
    <w:rsid w:val="00B06C0A"/>
    <w:rsid w:val="00B105ED"/>
    <w:rsid w:val="00B1666D"/>
    <w:rsid w:val="00B273F3"/>
    <w:rsid w:val="00B356D2"/>
    <w:rsid w:val="00B47CC6"/>
    <w:rsid w:val="00B5374B"/>
    <w:rsid w:val="00B66F05"/>
    <w:rsid w:val="00B67213"/>
    <w:rsid w:val="00B72AC8"/>
    <w:rsid w:val="00B763DC"/>
    <w:rsid w:val="00B8094D"/>
    <w:rsid w:val="00B83A50"/>
    <w:rsid w:val="00B9584F"/>
    <w:rsid w:val="00BE1BA2"/>
    <w:rsid w:val="00BF6AAD"/>
    <w:rsid w:val="00C10D4F"/>
    <w:rsid w:val="00C13F16"/>
    <w:rsid w:val="00C14240"/>
    <w:rsid w:val="00C172AA"/>
    <w:rsid w:val="00C223FE"/>
    <w:rsid w:val="00C362B4"/>
    <w:rsid w:val="00C61B9D"/>
    <w:rsid w:val="00C63DA7"/>
    <w:rsid w:val="00CB3B12"/>
    <w:rsid w:val="00CC05E0"/>
    <w:rsid w:val="00CE69EB"/>
    <w:rsid w:val="00CE7161"/>
    <w:rsid w:val="00D11C54"/>
    <w:rsid w:val="00D34225"/>
    <w:rsid w:val="00D37EF1"/>
    <w:rsid w:val="00D44CF2"/>
    <w:rsid w:val="00D55663"/>
    <w:rsid w:val="00D55A88"/>
    <w:rsid w:val="00D67E64"/>
    <w:rsid w:val="00D75490"/>
    <w:rsid w:val="00D80D0E"/>
    <w:rsid w:val="00D818DD"/>
    <w:rsid w:val="00D834F4"/>
    <w:rsid w:val="00D852B5"/>
    <w:rsid w:val="00D972AF"/>
    <w:rsid w:val="00DA02B6"/>
    <w:rsid w:val="00DA2112"/>
    <w:rsid w:val="00DA2823"/>
    <w:rsid w:val="00DA5497"/>
    <w:rsid w:val="00DC589C"/>
    <w:rsid w:val="00DD714C"/>
    <w:rsid w:val="00DE1D94"/>
    <w:rsid w:val="00DF1931"/>
    <w:rsid w:val="00DF4BB3"/>
    <w:rsid w:val="00DF66DC"/>
    <w:rsid w:val="00E00E19"/>
    <w:rsid w:val="00E07AE6"/>
    <w:rsid w:val="00E241DC"/>
    <w:rsid w:val="00E41D0F"/>
    <w:rsid w:val="00E55154"/>
    <w:rsid w:val="00E64D4C"/>
    <w:rsid w:val="00E95F19"/>
    <w:rsid w:val="00EB0018"/>
    <w:rsid w:val="00EC1218"/>
    <w:rsid w:val="00EC444A"/>
    <w:rsid w:val="00ED0A65"/>
    <w:rsid w:val="00ED2FF9"/>
    <w:rsid w:val="00EE4E21"/>
    <w:rsid w:val="00EF6688"/>
    <w:rsid w:val="00F52365"/>
    <w:rsid w:val="00F63850"/>
    <w:rsid w:val="00F67AA2"/>
    <w:rsid w:val="00F73433"/>
    <w:rsid w:val="00F7446A"/>
    <w:rsid w:val="00F82787"/>
    <w:rsid w:val="00F921E4"/>
    <w:rsid w:val="00F92CCF"/>
    <w:rsid w:val="00F952B6"/>
    <w:rsid w:val="00FA1FBF"/>
    <w:rsid w:val="00FE2D46"/>
    <w:rsid w:val="00FE3C4E"/>
    <w:rsid w:val="00FF1B3E"/>
    <w:rsid w:val="00FF44E6"/>
    <w:rsid w:val="01B62651"/>
    <w:rsid w:val="01B9224C"/>
    <w:rsid w:val="020A6560"/>
    <w:rsid w:val="02327C3B"/>
    <w:rsid w:val="02337E43"/>
    <w:rsid w:val="02B05195"/>
    <w:rsid w:val="02B50740"/>
    <w:rsid w:val="037147E6"/>
    <w:rsid w:val="03767E8F"/>
    <w:rsid w:val="03C12438"/>
    <w:rsid w:val="03CC4323"/>
    <w:rsid w:val="03F81745"/>
    <w:rsid w:val="041576CD"/>
    <w:rsid w:val="049662E9"/>
    <w:rsid w:val="04D02FE1"/>
    <w:rsid w:val="04D5703B"/>
    <w:rsid w:val="04DF5791"/>
    <w:rsid w:val="04E36057"/>
    <w:rsid w:val="04FC4CD6"/>
    <w:rsid w:val="050220B8"/>
    <w:rsid w:val="053A17F7"/>
    <w:rsid w:val="053B478F"/>
    <w:rsid w:val="05F74574"/>
    <w:rsid w:val="05FF3837"/>
    <w:rsid w:val="06043E77"/>
    <w:rsid w:val="064314B7"/>
    <w:rsid w:val="065935A0"/>
    <w:rsid w:val="06642D76"/>
    <w:rsid w:val="06AE2C4A"/>
    <w:rsid w:val="06CD1914"/>
    <w:rsid w:val="06DD1C7D"/>
    <w:rsid w:val="06FF7AE3"/>
    <w:rsid w:val="07463F7C"/>
    <w:rsid w:val="07767AA9"/>
    <w:rsid w:val="07DA447A"/>
    <w:rsid w:val="07DB01C6"/>
    <w:rsid w:val="07F43A6A"/>
    <w:rsid w:val="083154E9"/>
    <w:rsid w:val="08A67B67"/>
    <w:rsid w:val="08F72A83"/>
    <w:rsid w:val="09603658"/>
    <w:rsid w:val="09B94C0E"/>
    <w:rsid w:val="0A0071BB"/>
    <w:rsid w:val="0A1F05DB"/>
    <w:rsid w:val="0AA25463"/>
    <w:rsid w:val="0AA931C7"/>
    <w:rsid w:val="0AC529FA"/>
    <w:rsid w:val="0AC80A7C"/>
    <w:rsid w:val="0B52492C"/>
    <w:rsid w:val="0B555C79"/>
    <w:rsid w:val="0B5F0CB9"/>
    <w:rsid w:val="0BA82ECC"/>
    <w:rsid w:val="0C2471DA"/>
    <w:rsid w:val="0C5F214E"/>
    <w:rsid w:val="0C600453"/>
    <w:rsid w:val="0CB148D8"/>
    <w:rsid w:val="0D2251B4"/>
    <w:rsid w:val="0DA34997"/>
    <w:rsid w:val="0DC8697E"/>
    <w:rsid w:val="0DE6529A"/>
    <w:rsid w:val="0DF046F0"/>
    <w:rsid w:val="0E106077"/>
    <w:rsid w:val="0E9D363C"/>
    <w:rsid w:val="0ED91006"/>
    <w:rsid w:val="0EF218F6"/>
    <w:rsid w:val="0EFE7125"/>
    <w:rsid w:val="0F114B84"/>
    <w:rsid w:val="0F871A2B"/>
    <w:rsid w:val="0FF87C6E"/>
    <w:rsid w:val="10333FF3"/>
    <w:rsid w:val="1047255F"/>
    <w:rsid w:val="104946D6"/>
    <w:rsid w:val="10565C32"/>
    <w:rsid w:val="10984EF9"/>
    <w:rsid w:val="10AC63FA"/>
    <w:rsid w:val="10F06B06"/>
    <w:rsid w:val="117743A2"/>
    <w:rsid w:val="11802267"/>
    <w:rsid w:val="11910543"/>
    <w:rsid w:val="11A87E83"/>
    <w:rsid w:val="11F52DAC"/>
    <w:rsid w:val="12C068E3"/>
    <w:rsid w:val="13330400"/>
    <w:rsid w:val="13AA74E6"/>
    <w:rsid w:val="13C3194A"/>
    <w:rsid w:val="13C83443"/>
    <w:rsid w:val="13E44C80"/>
    <w:rsid w:val="14532C74"/>
    <w:rsid w:val="14E03831"/>
    <w:rsid w:val="158D7EC6"/>
    <w:rsid w:val="159D328C"/>
    <w:rsid w:val="15A15995"/>
    <w:rsid w:val="15A4068E"/>
    <w:rsid w:val="15CF4BAB"/>
    <w:rsid w:val="15DE5416"/>
    <w:rsid w:val="15F04034"/>
    <w:rsid w:val="16193F3C"/>
    <w:rsid w:val="16580D50"/>
    <w:rsid w:val="16B90FFD"/>
    <w:rsid w:val="16D2289C"/>
    <w:rsid w:val="16F0335F"/>
    <w:rsid w:val="177C0DBC"/>
    <w:rsid w:val="17B773A7"/>
    <w:rsid w:val="17C76CE9"/>
    <w:rsid w:val="188D5A76"/>
    <w:rsid w:val="19014831"/>
    <w:rsid w:val="19853F1C"/>
    <w:rsid w:val="19C20FD1"/>
    <w:rsid w:val="1ADB7A0C"/>
    <w:rsid w:val="1AFE4732"/>
    <w:rsid w:val="1B226C64"/>
    <w:rsid w:val="1B6517CC"/>
    <w:rsid w:val="1C6B044B"/>
    <w:rsid w:val="1C6E47E1"/>
    <w:rsid w:val="1C9A3B04"/>
    <w:rsid w:val="1D1467CE"/>
    <w:rsid w:val="1D2271A9"/>
    <w:rsid w:val="1D6F0705"/>
    <w:rsid w:val="1DAA0DB5"/>
    <w:rsid w:val="1DB6113C"/>
    <w:rsid w:val="1DD46929"/>
    <w:rsid w:val="1DEE1D15"/>
    <w:rsid w:val="1DFE1321"/>
    <w:rsid w:val="1F0A2A97"/>
    <w:rsid w:val="1F581E74"/>
    <w:rsid w:val="1F9201DF"/>
    <w:rsid w:val="1FA40107"/>
    <w:rsid w:val="202F6098"/>
    <w:rsid w:val="203D316D"/>
    <w:rsid w:val="20545EAE"/>
    <w:rsid w:val="207F228A"/>
    <w:rsid w:val="20A11EF8"/>
    <w:rsid w:val="20A27E0C"/>
    <w:rsid w:val="20DD7E09"/>
    <w:rsid w:val="20DE332A"/>
    <w:rsid w:val="20EB4BE5"/>
    <w:rsid w:val="214A75BC"/>
    <w:rsid w:val="21755D8F"/>
    <w:rsid w:val="217E1507"/>
    <w:rsid w:val="22560F46"/>
    <w:rsid w:val="22963313"/>
    <w:rsid w:val="232502DE"/>
    <w:rsid w:val="24A40E87"/>
    <w:rsid w:val="250D1E38"/>
    <w:rsid w:val="2515078F"/>
    <w:rsid w:val="25296B03"/>
    <w:rsid w:val="256D4B60"/>
    <w:rsid w:val="256F7D94"/>
    <w:rsid w:val="257B2D20"/>
    <w:rsid w:val="259929A1"/>
    <w:rsid w:val="269E2CCB"/>
    <w:rsid w:val="269F09F6"/>
    <w:rsid w:val="26A921DC"/>
    <w:rsid w:val="274266F9"/>
    <w:rsid w:val="279C285F"/>
    <w:rsid w:val="27BB7123"/>
    <w:rsid w:val="28757358"/>
    <w:rsid w:val="28C275DA"/>
    <w:rsid w:val="28DD15EA"/>
    <w:rsid w:val="28DD30E4"/>
    <w:rsid w:val="291565FA"/>
    <w:rsid w:val="294A1828"/>
    <w:rsid w:val="294A30C6"/>
    <w:rsid w:val="2993673B"/>
    <w:rsid w:val="29D23543"/>
    <w:rsid w:val="2A011704"/>
    <w:rsid w:val="2A22007B"/>
    <w:rsid w:val="2A2D7939"/>
    <w:rsid w:val="2A3627D0"/>
    <w:rsid w:val="2AF21D0E"/>
    <w:rsid w:val="2B9922B5"/>
    <w:rsid w:val="2C10405E"/>
    <w:rsid w:val="2C2225F9"/>
    <w:rsid w:val="2C7018B0"/>
    <w:rsid w:val="2C750F01"/>
    <w:rsid w:val="2CA6498D"/>
    <w:rsid w:val="2D2F4BD9"/>
    <w:rsid w:val="2D516695"/>
    <w:rsid w:val="2D9E7F7E"/>
    <w:rsid w:val="2DDD1AF1"/>
    <w:rsid w:val="2E4A01B0"/>
    <w:rsid w:val="2E6E138C"/>
    <w:rsid w:val="2EBB2268"/>
    <w:rsid w:val="2EBB5AA8"/>
    <w:rsid w:val="2F0D5A38"/>
    <w:rsid w:val="2F2F421B"/>
    <w:rsid w:val="2F824710"/>
    <w:rsid w:val="2FD32701"/>
    <w:rsid w:val="30575EA1"/>
    <w:rsid w:val="308C689D"/>
    <w:rsid w:val="30D138F0"/>
    <w:rsid w:val="30D81AED"/>
    <w:rsid w:val="30EC5BF2"/>
    <w:rsid w:val="32065DE5"/>
    <w:rsid w:val="320C1A3D"/>
    <w:rsid w:val="322D7471"/>
    <w:rsid w:val="32A64051"/>
    <w:rsid w:val="32B7086E"/>
    <w:rsid w:val="3345307A"/>
    <w:rsid w:val="3372536D"/>
    <w:rsid w:val="337339A6"/>
    <w:rsid w:val="33F117D4"/>
    <w:rsid w:val="35A91BD5"/>
    <w:rsid w:val="35CC23D3"/>
    <w:rsid w:val="35E26AF2"/>
    <w:rsid w:val="35F26890"/>
    <w:rsid w:val="360D50F5"/>
    <w:rsid w:val="36797003"/>
    <w:rsid w:val="36D43619"/>
    <w:rsid w:val="36EA0B86"/>
    <w:rsid w:val="36FA5007"/>
    <w:rsid w:val="37104286"/>
    <w:rsid w:val="372948C5"/>
    <w:rsid w:val="374A42E0"/>
    <w:rsid w:val="37744602"/>
    <w:rsid w:val="384E2B40"/>
    <w:rsid w:val="38CA0C4A"/>
    <w:rsid w:val="38E52551"/>
    <w:rsid w:val="3901046B"/>
    <w:rsid w:val="398A7EB2"/>
    <w:rsid w:val="3A1F7E5A"/>
    <w:rsid w:val="3AE43B84"/>
    <w:rsid w:val="3B812CB9"/>
    <w:rsid w:val="3BDC4AEF"/>
    <w:rsid w:val="3C0D4FA4"/>
    <w:rsid w:val="3C9A3C16"/>
    <w:rsid w:val="3CB957D5"/>
    <w:rsid w:val="3D2035BD"/>
    <w:rsid w:val="3D4A6E87"/>
    <w:rsid w:val="3D5D5DE1"/>
    <w:rsid w:val="3D7E5B37"/>
    <w:rsid w:val="3D8D2C33"/>
    <w:rsid w:val="3D904CD7"/>
    <w:rsid w:val="3D9E5112"/>
    <w:rsid w:val="3DD92AA7"/>
    <w:rsid w:val="3DF4592E"/>
    <w:rsid w:val="3DFD1FA8"/>
    <w:rsid w:val="3E25748C"/>
    <w:rsid w:val="3E6B7A04"/>
    <w:rsid w:val="3E8D5120"/>
    <w:rsid w:val="3F2703EE"/>
    <w:rsid w:val="3F3A182F"/>
    <w:rsid w:val="3F440A33"/>
    <w:rsid w:val="3F9432B3"/>
    <w:rsid w:val="3F9C48E6"/>
    <w:rsid w:val="3FA9009A"/>
    <w:rsid w:val="3FEE525B"/>
    <w:rsid w:val="4031629C"/>
    <w:rsid w:val="40786987"/>
    <w:rsid w:val="40971E0B"/>
    <w:rsid w:val="40A924EF"/>
    <w:rsid w:val="40D713C2"/>
    <w:rsid w:val="40D86C6E"/>
    <w:rsid w:val="41120DFC"/>
    <w:rsid w:val="413054D4"/>
    <w:rsid w:val="41662579"/>
    <w:rsid w:val="41675331"/>
    <w:rsid w:val="418263F4"/>
    <w:rsid w:val="418F51C2"/>
    <w:rsid w:val="41A862CA"/>
    <w:rsid w:val="41BF2C45"/>
    <w:rsid w:val="41D00D64"/>
    <w:rsid w:val="41E27569"/>
    <w:rsid w:val="420B1973"/>
    <w:rsid w:val="421B1E9E"/>
    <w:rsid w:val="424B195D"/>
    <w:rsid w:val="426346C0"/>
    <w:rsid w:val="429A2E0A"/>
    <w:rsid w:val="4315282F"/>
    <w:rsid w:val="4384107F"/>
    <w:rsid w:val="445220B5"/>
    <w:rsid w:val="448C73FF"/>
    <w:rsid w:val="45C43B9A"/>
    <w:rsid w:val="4626730A"/>
    <w:rsid w:val="46547124"/>
    <w:rsid w:val="46694FBC"/>
    <w:rsid w:val="46817CB6"/>
    <w:rsid w:val="46A34A28"/>
    <w:rsid w:val="46B4194C"/>
    <w:rsid w:val="47075CF1"/>
    <w:rsid w:val="47374378"/>
    <w:rsid w:val="473A2224"/>
    <w:rsid w:val="47853E10"/>
    <w:rsid w:val="4793533B"/>
    <w:rsid w:val="485F4207"/>
    <w:rsid w:val="48617590"/>
    <w:rsid w:val="4A8927B8"/>
    <w:rsid w:val="4AB44B0E"/>
    <w:rsid w:val="4B1D5D59"/>
    <w:rsid w:val="4B2E3A8C"/>
    <w:rsid w:val="4B552AAC"/>
    <w:rsid w:val="4C5C3212"/>
    <w:rsid w:val="4CAC6D97"/>
    <w:rsid w:val="4CB1413F"/>
    <w:rsid w:val="4CCF3C33"/>
    <w:rsid w:val="4D4E4B49"/>
    <w:rsid w:val="4D6E508D"/>
    <w:rsid w:val="4D8C60D6"/>
    <w:rsid w:val="4DDA4DD1"/>
    <w:rsid w:val="4DE021E4"/>
    <w:rsid w:val="4E0135F6"/>
    <w:rsid w:val="4E130873"/>
    <w:rsid w:val="4E321843"/>
    <w:rsid w:val="4E322466"/>
    <w:rsid w:val="4E53607E"/>
    <w:rsid w:val="4F3C3EE5"/>
    <w:rsid w:val="4F657C22"/>
    <w:rsid w:val="4FCE75DC"/>
    <w:rsid w:val="4FEF2429"/>
    <w:rsid w:val="500B1D94"/>
    <w:rsid w:val="50195816"/>
    <w:rsid w:val="506F25F5"/>
    <w:rsid w:val="50D21CE9"/>
    <w:rsid w:val="50F61FDB"/>
    <w:rsid w:val="513471FE"/>
    <w:rsid w:val="513E2389"/>
    <w:rsid w:val="517E0DCC"/>
    <w:rsid w:val="51943E21"/>
    <w:rsid w:val="51C54FD4"/>
    <w:rsid w:val="51E16E1E"/>
    <w:rsid w:val="53066E33"/>
    <w:rsid w:val="53165D35"/>
    <w:rsid w:val="53395955"/>
    <w:rsid w:val="5368480B"/>
    <w:rsid w:val="53734EBE"/>
    <w:rsid w:val="53C867C8"/>
    <w:rsid w:val="53EE5353"/>
    <w:rsid w:val="544B6BC5"/>
    <w:rsid w:val="547D0229"/>
    <w:rsid w:val="54A45020"/>
    <w:rsid w:val="54B823BA"/>
    <w:rsid w:val="55226AF3"/>
    <w:rsid w:val="55EC5CF3"/>
    <w:rsid w:val="56002763"/>
    <w:rsid w:val="564F4768"/>
    <w:rsid w:val="567E3109"/>
    <w:rsid w:val="56834A0E"/>
    <w:rsid w:val="56B16246"/>
    <w:rsid w:val="56C4377B"/>
    <w:rsid w:val="573965C1"/>
    <w:rsid w:val="57701155"/>
    <w:rsid w:val="57AF746F"/>
    <w:rsid w:val="57D8383E"/>
    <w:rsid w:val="580278DB"/>
    <w:rsid w:val="58DA595F"/>
    <w:rsid w:val="5A2D1591"/>
    <w:rsid w:val="5ADD7BD9"/>
    <w:rsid w:val="5B751E4D"/>
    <w:rsid w:val="5B7D5C2B"/>
    <w:rsid w:val="5B852940"/>
    <w:rsid w:val="5BB9687B"/>
    <w:rsid w:val="5BBF4E87"/>
    <w:rsid w:val="5BC029A4"/>
    <w:rsid w:val="5BD5513F"/>
    <w:rsid w:val="5C0755BF"/>
    <w:rsid w:val="5CDB4788"/>
    <w:rsid w:val="5D264DD3"/>
    <w:rsid w:val="5D4A29ED"/>
    <w:rsid w:val="5D673CBC"/>
    <w:rsid w:val="5DCC5751"/>
    <w:rsid w:val="5DD508DE"/>
    <w:rsid w:val="5DEA69E6"/>
    <w:rsid w:val="5E0343AA"/>
    <w:rsid w:val="5EB05DDE"/>
    <w:rsid w:val="5EB9746B"/>
    <w:rsid w:val="5F622AEC"/>
    <w:rsid w:val="5F666C52"/>
    <w:rsid w:val="5F6A55CB"/>
    <w:rsid w:val="5FA16DEB"/>
    <w:rsid w:val="5FBE404B"/>
    <w:rsid w:val="5FEF288A"/>
    <w:rsid w:val="6023794E"/>
    <w:rsid w:val="606426A5"/>
    <w:rsid w:val="60695767"/>
    <w:rsid w:val="608F436D"/>
    <w:rsid w:val="612725CE"/>
    <w:rsid w:val="61402524"/>
    <w:rsid w:val="61AB00FE"/>
    <w:rsid w:val="61FF5974"/>
    <w:rsid w:val="62450907"/>
    <w:rsid w:val="62972B50"/>
    <w:rsid w:val="62A4504E"/>
    <w:rsid w:val="633A78DC"/>
    <w:rsid w:val="63483F1E"/>
    <w:rsid w:val="6385192B"/>
    <w:rsid w:val="638F1997"/>
    <w:rsid w:val="64254DFE"/>
    <w:rsid w:val="643061B0"/>
    <w:rsid w:val="64320CEB"/>
    <w:rsid w:val="644919DE"/>
    <w:rsid w:val="64D068C5"/>
    <w:rsid w:val="661A61C3"/>
    <w:rsid w:val="663E4DB7"/>
    <w:rsid w:val="66505E1E"/>
    <w:rsid w:val="66C07C97"/>
    <w:rsid w:val="66EE57FD"/>
    <w:rsid w:val="67F833FB"/>
    <w:rsid w:val="68376C05"/>
    <w:rsid w:val="690A7F99"/>
    <w:rsid w:val="695F4055"/>
    <w:rsid w:val="698C721F"/>
    <w:rsid w:val="69942065"/>
    <w:rsid w:val="699A4170"/>
    <w:rsid w:val="69D8344C"/>
    <w:rsid w:val="6A1A3172"/>
    <w:rsid w:val="6A3255F2"/>
    <w:rsid w:val="6A356722"/>
    <w:rsid w:val="6A606B67"/>
    <w:rsid w:val="6A7F667A"/>
    <w:rsid w:val="6A993253"/>
    <w:rsid w:val="6B2026C7"/>
    <w:rsid w:val="6B787C44"/>
    <w:rsid w:val="6BF06E52"/>
    <w:rsid w:val="6C1B7C52"/>
    <w:rsid w:val="6C39418E"/>
    <w:rsid w:val="6C6F3539"/>
    <w:rsid w:val="6C797729"/>
    <w:rsid w:val="6C9C0897"/>
    <w:rsid w:val="6CAE0DB1"/>
    <w:rsid w:val="6D476EF8"/>
    <w:rsid w:val="6DB15A4C"/>
    <w:rsid w:val="6E5A595A"/>
    <w:rsid w:val="6EF71A7F"/>
    <w:rsid w:val="6EFC5881"/>
    <w:rsid w:val="6F175133"/>
    <w:rsid w:val="6F261832"/>
    <w:rsid w:val="6F362B9E"/>
    <w:rsid w:val="701B2238"/>
    <w:rsid w:val="70397C9D"/>
    <w:rsid w:val="715909F9"/>
    <w:rsid w:val="7205439F"/>
    <w:rsid w:val="72613A9E"/>
    <w:rsid w:val="7270364B"/>
    <w:rsid w:val="73C15395"/>
    <w:rsid w:val="745F40F2"/>
    <w:rsid w:val="74E51C6F"/>
    <w:rsid w:val="74FA37DC"/>
    <w:rsid w:val="759519DA"/>
    <w:rsid w:val="75B02D21"/>
    <w:rsid w:val="7612070C"/>
    <w:rsid w:val="76124B5D"/>
    <w:rsid w:val="76A5729F"/>
    <w:rsid w:val="76EE715B"/>
    <w:rsid w:val="771048C5"/>
    <w:rsid w:val="7745130C"/>
    <w:rsid w:val="776A4BF8"/>
    <w:rsid w:val="77777E8C"/>
    <w:rsid w:val="778416AC"/>
    <w:rsid w:val="77887D69"/>
    <w:rsid w:val="78145B49"/>
    <w:rsid w:val="78164CBE"/>
    <w:rsid w:val="78793740"/>
    <w:rsid w:val="787957D7"/>
    <w:rsid w:val="78907934"/>
    <w:rsid w:val="78973175"/>
    <w:rsid w:val="78F4107A"/>
    <w:rsid w:val="78FB158C"/>
    <w:rsid w:val="79253D26"/>
    <w:rsid w:val="79510C7E"/>
    <w:rsid w:val="79751560"/>
    <w:rsid w:val="79837762"/>
    <w:rsid w:val="79EC5E2D"/>
    <w:rsid w:val="7A255353"/>
    <w:rsid w:val="7A2932F9"/>
    <w:rsid w:val="7A6A122F"/>
    <w:rsid w:val="7A8C15AA"/>
    <w:rsid w:val="7AC42918"/>
    <w:rsid w:val="7B2D34FA"/>
    <w:rsid w:val="7B484F93"/>
    <w:rsid w:val="7C267DED"/>
    <w:rsid w:val="7C8A21A9"/>
    <w:rsid w:val="7CC511D2"/>
    <w:rsid w:val="7CEF0409"/>
    <w:rsid w:val="7D0E1A8E"/>
    <w:rsid w:val="7D2C7CA5"/>
    <w:rsid w:val="7D352C61"/>
    <w:rsid w:val="7D640E99"/>
    <w:rsid w:val="7D693C5B"/>
    <w:rsid w:val="7DAF6FE7"/>
    <w:rsid w:val="7E383C04"/>
    <w:rsid w:val="7E560300"/>
    <w:rsid w:val="7E5A5571"/>
    <w:rsid w:val="7EAD1689"/>
    <w:rsid w:val="7EC25829"/>
    <w:rsid w:val="7F2067B7"/>
    <w:rsid w:val="7F3D686C"/>
    <w:rsid w:val="7F6537FA"/>
    <w:rsid w:val="7F690A13"/>
    <w:rsid w:val="7F6C0832"/>
    <w:rsid w:val="7F706868"/>
    <w:rsid w:val="7F8F0DD5"/>
    <w:rsid w:val="7FDF2212"/>
    <w:rsid w:val="7FEC35F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560" w:lineRule="exact"/>
      <w:ind w:firstLine="200" w:firstLineChars="200"/>
      <w:jc w:val="both"/>
    </w:pPr>
    <w:rPr>
      <w:rFonts w:ascii="Calibri" w:hAnsi="Calibri" w:eastAsia="仿宋" w:cs="Times New Roman"/>
      <w:kern w:val="2"/>
      <w:sz w:val="32"/>
      <w:szCs w:val="22"/>
      <w:lang w:val="en-US" w:eastAsia="zh-CN" w:bidi="ar-SA"/>
    </w:rPr>
  </w:style>
  <w:style w:type="paragraph" w:styleId="2">
    <w:name w:val="heading 1"/>
    <w:basedOn w:val="1"/>
    <w:next w:val="1"/>
    <w:link w:val="12"/>
    <w:qFormat/>
    <w:uiPriority w:val="99"/>
    <w:pPr>
      <w:keepNext/>
      <w:keepLines/>
      <w:outlineLvl w:val="0"/>
    </w:pPr>
    <w:rPr>
      <w:rFonts w:eastAsia="黑体"/>
      <w:b/>
      <w:bCs/>
      <w:kern w:val="44"/>
      <w:szCs w:val="44"/>
    </w:rPr>
  </w:style>
  <w:style w:type="paragraph" w:styleId="3">
    <w:name w:val="heading 2"/>
    <w:basedOn w:val="1"/>
    <w:next w:val="1"/>
    <w:link w:val="13"/>
    <w:qFormat/>
    <w:uiPriority w:val="99"/>
    <w:pPr>
      <w:keepNext/>
      <w:keepLines/>
      <w:spacing w:line="560" w:lineRule="atLeast"/>
      <w:outlineLvl w:val="1"/>
    </w:pPr>
    <w:rPr>
      <w:rFonts w:ascii="Cambria" w:hAnsi="Cambria" w:eastAsia="黑体"/>
      <w:b/>
      <w:bCs/>
      <w:szCs w:val="32"/>
    </w:rPr>
  </w:style>
  <w:style w:type="paragraph" w:styleId="4">
    <w:name w:val="heading 3"/>
    <w:basedOn w:val="1"/>
    <w:next w:val="1"/>
    <w:link w:val="14"/>
    <w:qFormat/>
    <w:uiPriority w:val="99"/>
    <w:pPr>
      <w:outlineLvl w:val="2"/>
    </w:pPr>
    <w:rPr>
      <w:rFonts w:ascii="宋体" w:hAnsi="宋体" w:eastAsia="宋体" w:cs="仿宋"/>
      <w:b/>
      <w:szCs w:val="32"/>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5">
    <w:name w:val="footer"/>
    <w:basedOn w:val="1"/>
    <w:link w:val="15"/>
    <w:semiHidden/>
    <w:qFormat/>
    <w:uiPriority w:val="99"/>
    <w:pPr>
      <w:tabs>
        <w:tab w:val="center" w:pos="4153"/>
        <w:tab w:val="right" w:pos="8306"/>
      </w:tabs>
      <w:spacing w:line="240" w:lineRule="atLeast"/>
      <w:jc w:val="left"/>
    </w:pPr>
    <w:rPr>
      <w:sz w:val="18"/>
      <w:szCs w:val="18"/>
    </w:rPr>
  </w:style>
  <w:style w:type="paragraph" w:styleId="6">
    <w:name w:val="header"/>
    <w:basedOn w:val="1"/>
    <w:link w:val="16"/>
    <w:semiHidden/>
    <w:qFormat/>
    <w:uiPriority w:val="99"/>
    <w:pPr>
      <w:pBdr>
        <w:bottom w:val="single" w:color="auto" w:sz="6" w:space="1"/>
      </w:pBdr>
      <w:tabs>
        <w:tab w:val="center" w:pos="4153"/>
        <w:tab w:val="right" w:pos="8306"/>
      </w:tabs>
      <w:spacing w:line="240" w:lineRule="atLeast"/>
      <w:jc w:val="center"/>
    </w:pPr>
    <w:rPr>
      <w:sz w:val="18"/>
      <w:szCs w:val="18"/>
    </w:rPr>
  </w:style>
  <w:style w:type="paragraph" w:styleId="7">
    <w:name w:val="Normal (Web)"/>
    <w:basedOn w:val="1"/>
    <w:semiHidden/>
    <w:qFormat/>
    <w:uiPriority w:val="99"/>
    <w:pPr>
      <w:spacing w:beforeAutospacing="1" w:afterAutospacing="1"/>
      <w:jc w:val="left"/>
    </w:pPr>
    <w:rPr>
      <w:kern w:val="0"/>
      <w:sz w:val="24"/>
    </w:rPr>
  </w:style>
  <w:style w:type="table" w:styleId="9">
    <w:name w:val="Table Grid"/>
    <w:basedOn w:val="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Hyperlink"/>
    <w:basedOn w:val="10"/>
    <w:semiHidden/>
    <w:unhideWhenUsed/>
    <w:qFormat/>
    <w:uiPriority w:val="99"/>
    <w:rPr>
      <w:color w:val="0000FF"/>
      <w:u w:val="single"/>
    </w:rPr>
  </w:style>
  <w:style w:type="character" w:customStyle="1" w:styleId="12">
    <w:name w:val="标题 1 Char"/>
    <w:link w:val="2"/>
    <w:qFormat/>
    <w:locked/>
    <w:uiPriority w:val="99"/>
    <w:rPr>
      <w:rFonts w:eastAsia="黑体" w:cs="Times New Roman"/>
      <w:b/>
      <w:bCs/>
      <w:kern w:val="44"/>
      <w:sz w:val="44"/>
      <w:szCs w:val="44"/>
    </w:rPr>
  </w:style>
  <w:style w:type="character" w:customStyle="1" w:styleId="13">
    <w:name w:val="标题 2 Char"/>
    <w:link w:val="3"/>
    <w:qFormat/>
    <w:locked/>
    <w:uiPriority w:val="99"/>
    <w:rPr>
      <w:rFonts w:ascii="Cambria" w:hAnsi="Cambria" w:eastAsia="黑体" w:cs="Times New Roman"/>
      <w:b/>
      <w:bCs/>
      <w:sz w:val="32"/>
      <w:szCs w:val="32"/>
    </w:rPr>
  </w:style>
  <w:style w:type="character" w:customStyle="1" w:styleId="14">
    <w:name w:val="标题 3 Char"/>
    <w:link w:val="4"/>
    <w:semiHidden/>
    <w:qFormat/>
    <w:uiPriority w:val="9"/>
    <w:rPr>
      <w:rFonts w:eastAsia="仿宋"/>
      <w:b/>
      <w:bCs/>
      <w:sz w:val="32"/>
      <w:szCs w:val="32"/>
    </w:rPr>
  </w:style>
  <w:style w:type="character" w:customStyle="1" w:styleId="15">
    <w:name w:val="页脚 Char"/>
    <w:link w:val="5"/>
    <w:semiHidden/>
    <w:qFormat/>
    <w:locked/>
    <w:uiPriority w:val="99"/>
    <w:rPr>
      <w:rFonts w:ascii="Calibri" w:hAnsi="Calibri" w:eastAsia="仿宋" w:cs="Times New Roman"/>
      <w:kern w:val="2"/>
      <w:sz w:val="18"/>
      <w:szCs w:val="18"/>
    </w:rPr>
  </w:style>
  <w:style w:type="character" w:customStyle="1" w:styleId="16">
    <w:name w:val="页眉 Char"/>
    <w:link w:val="6"/>
    <w:semiHidden/>
    <w:qFormat/>
    <w:locked/>
    <w:uiPriority w:val="99"/>
    <w:rPr>
      <w:rFonts w:ascii="Calibri" w:hAnsi="Calibri" w:eastAsia="仿宋" w:cs="Times New Roman"/>
      <w:kern w:val="2"/>
      <w:sz w:val="18"/>
      <w:szCs w:val="18"/>
    </w:rPr>
  </w:style>
  <w:style w:type="paragraph" w:customStyle="1" w:styleId="17">
    <w:name w:val="明白书标题"/>
    <w:basedOn w:val="1"/>
    <w:qFormat/>
    <w:uiPriority w:val="99"/>
    <w:pPr>
      <w:jc w:val="center"/>
    </w:pPr>
    <w:rPr>
      <w:rFonts w:ascii="Times New Roman" w:hAnsi="Times New Roman" w:eastAsia="宋体"/>
      <w:b/>
      <w:sz w:val="44"/>
      <w:szCs w:val="44"/>
    </w:rPr>
  </w:style>
  <w:style w:type="paragraph" w:styleId="18">
    <w:name w:val="List Paragraph"/>
    <w:basedOn w:val="1"/>
    <w:qFormat/>
    <w:uiPriority w:val="99"/>
    <w:pPr>
      <w:ind w:firstLine="420"/>
    </w:pPr>
  </w:style>
  <w:style w:type="character" w:customStyle="1" w:styleId="19">
    <w:name w:val="font21"/>
    <w:basedOn w:val="10"/>
    <w:qFormat/>
    <w:uiPriority w:val="0"/>
    <w:rPr>
      <w:rFonts w:hint="eastAsia" w:ascii="仿宋" w:hAnsi="仿宋" w:eastAsia="仿宋" w:cs="仿宋"/>
      <w:color w:val="000000"/>
      <w:sz w:val="21"/>
      <w:szCs w:val="21"/>
      <w:u w:val="none"/>
    </w:rPr>
  </w:style>
  <w:style w:type="character" w:customStyle="1" w:styleId="20">
    <w:name w:val="font01"/>
    <w:basedOn w:val="10"/>
    <w:qFormat/>
    <w:uiPriority w:val="0"/>
    <w:rPr>
      <w:rFonts w:hint="eastAsia" w:ascii="仿宋" w:hAnsi="仿宋" w:eastAsia="仿宋" w:cs="仿宋"/>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26</Pages>
  <Words>9417</Words>
  <Characters>2015</Characters>
  <Lines>16</Lines>
  <Paragraphs>22</Paragraphs>
  <TotalTime>1</TotalTime>
  <ScaleCrop>false</ScaleCrop>
  <LinksUpToDate>false</LinksUpToDate>
  <CharactersWithSpaces>11410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2018-09-25T09:22:00Z</dcterms:created>
  <dc:creator>微软用户</dc:creator>
  <cp:lastModifiedBy>Oo叮当小猫不吃鱼o</cp:lastModifiedBy>
  <cp:lastPrinted>2019-05-13T02:46:00Z</cp:lastPrinted>
  <dcterms:modified xsi:type="dcterms:W3CDTF">2021-10-17T03:51:11Z</dcterms:modified>
  <cp:revision>138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y fmtid="{D5CDD505-2E9C-101B-9397-08002B2CF9AE}" pid="3" name="KSORubyTemplateID" linkTarget="0">
    <vt:lpwstr>6</vt:lpwstr>
  </property>
</Properties>
</file>