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B1922"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 w14:paraId="478DFD76">
      <w:pPr>
        <w:spacing w:line="344" w:lineRule="auto"/>
        <w:rPr>
          <w:rFonts w:ascii="Arial"/>
          <w:sz w:val="21"/>
        </w:rPr>
      </w:pPr>
    </w:p>
    <w:p w14:paraId="64B7545E">
      <w:pPr>
        <w:spacing w:before="157" w:line="204" w:lineRule="auto"/>
        <w:ind w:left="1847"/>
        <w:outlineLvl w:val="0"/>
        <w:rPr>
          <w:rFonts w:ascii="华文宋体" w:hAnsi="华文宋体" w:eastAsia="华文宋体" w:cs="华文宋体"/>
          <w:sz w:val="43"/>
          <w:szCs w:val="43"/>
        </w:rPr>
      </w:pPr>
      <w:r>
        <w:rPr>
          <w:rFonts w:ascii="华文宋体" w:hAnsi="华文宋体" w:eastAsia="华文宋体" w:cs="华文宋体"/>
          <w:spacing w:val="9"/>
          <w:sz w:val="43"/>
          <w:szCs w:val="43"/>
        </w:rPr>
        <w:t>截至 2024</w:t>
      </w:r>
      <w:r>
        <w:rPr>
          <w:rFonts w:ascii="华文宋体" w:hAnsi="华文宋体" w:eastAsia="华文宋体" w:cs="华文宋体"/>
          <w:spacing w:val="36"/>
          <w:sz w:val="43"/>
          <w:szCs w:val="43"/>
        </w:rPr>
        <w:t xml:space="preserve"> </w:t>
      </w:r>
      <w:r>
        <w:rPr>
          <w:rFonts w:ascii="华文宋体" w:hAnsi="华文宋体" w:eastAsia="华文宋体" w:cs="华文宋体"/>
          <w:spacing w:val="9"/>
          <w:sz w:val="43"/>
          <w:szCs w:val="43"/>
        </w:rPr>
        <w:t>年末发行的新增政府一般债券情况表</w:t>
      </w:r>
    </w:p>
    <w:p w14:paraId="4E98321A">
      <w:pPr>
        <w:spacing w:before="177"/>
      </w:pPr>
    </w:p>
    <w:tbl>
      <w:tblPr>
        <w:tblStyle w:val="7"/>
        <w:tblW w:w="12167" w:type="dxa"/>
        <w:tblInd w:w="-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960"/>
        <w:gridCol w:w="624"/>
        <w:gridCol w:w="696"/>
        <w:gridCol w:w="984"/>
        <w:gridCol w:w="804"/>
        <w:gridCol w:w="792"/>
        <w:gridCol w:w="600"/>
        <w:gridCol w:w="924"/>
        <w:gridCol w:w="768"/>
        <w:gridCol w:w="648"/>
        <w:gridCol w:w="876"/>
        <w:gridCol w:w="696"/>
        <w:gridCol w:w="900"/>
        <w:gridCol w:w="853"/>
        <w:gridCol w:w="382"/>
      </w:tblGrid>
      <w:tr w14:paraId="4B7845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60" w:type="dxa"/>
            <w:vMerge w:val="restart"/>
            <w:tcBorders>
              <w:left w:val="single" w:color="000000" w:sz="2" w:space="0"/>
              <w:bottom w:val="nil"/>
            </w:tcBorders>
            <w:textDirection w:val="tbRlV"/>
            <w:vAlign w:val="top"/>
          </w:tcPr>
          <w:p w14:paraId="28DC66C1">
            <w:pPr>
              <w:pStyle w:val="6"/>
              <w:spacing w:before="168" w:line="215" w:lineRule="auto"/>
              <w:ind w:left="1029"/>
            </w:pPr>
            <w:r>
              <w:rPr>
                <w:spacing w:val="13"/>
              </w:rPr>
              <w:t>部</w:t>
            </w:r>
            <w:r>
              <w:rPr>
                <w:spacing w:val="-46"/>
              </w:rPr>
              <w:t xml:space="preserve"> </w:t>
            </w:r>
            <w:r>
              <w:rPr>
                <w:spacing w:val="13"/>
              </w:rPr>
              <w:t>门</w:t>
            </w:r>
            <w:r>
              <w:rPr>
                <w:spacing w:val="-49"/>
              </w:rPr>
              <w:t xml:space="preserve"> </w:t>
            </w:r>
            <w:r>
              <w:rPr>
                <w:spacing w:val="13"/>
              </w:rPr>
              <w:t>名</w:t>
            </w:r>
            <w:r>
              <w:rPr>
                <w:spacing w:val="-46"/>
              </w:rPr>
              <w:t xml:space="preserve"> </w:t>
            </w:r>
            <w:r>
              <w:rPr>
                <w:spacing w:val="13"/>
              </w:rPr>
              <w:t>称</w:t>
            </w:r>
          </w:p>
        </w:tc>
        <w:tc>
          <w:tcPr>
            <w:tcW w:w="5460" w:type="dxa"/>
            <w:gridSpan w:val="7"/>
            <w:vAlign w:val="top"/>
          </w:tcPr>
          <w:p w14:paraId="5EAFD9DF">
            <w:pPr>
              <w:pStyle w:val="6"/>
              <w:spacing w:before="87" w:line="230" w:lineRule="auto"/>
              <w:ind w:left="2676"/>
            </w:pPr>
            <w:r>
              <w:rPr>
                <w:spacing w:val="7"/>
              </w:rPr>
              <w:t>债券信息</w:t>
            </w:r>
          </w:p>
        </w:tc>
        <w:tc>
          <w:tcPr>
            <w:tcW w:w="5665" w:type="dxa"/>
            <w:gridSpan w:val="7"/>
            <w:vAlign w:val="top"/>
          </w:tcPr>
          <w:p w14:paraId="49979000">
            <w:pPr>
              <w:pStyle w:val="6"/>
              <w:spacing w:before="86" w:line="230" w:lineRule="auto"/>
              <w:ind w:left="1348"/>
            </w:pPr>
            <w:r>
              <w:rPr>
                <w:spacing w:val="8"/>
              </w:rPr>
              <w:t>债券项目情况</w:t>
            </w:r>
          </w:p>
        </w:tc>
        <w:tc>
          <w:tcPr>
            <w:tcW w:w="382" w:type="dxa"/>
            <w:vMerge w:val="restart"/>
            <w:tcBorders>
              <w:bottom w:val="nil"/>
              <w:right w:val="single" w:color="000000" w:sz="2" w:space="0"/>
            </w:tcBorders>
            <w:textDirection w:val="tbRlV"/>
            <w:vAlign w:val="top"/>
          </w:tcPr>
          <w:p w14:paraId="6C1EB83F">
            <w:pPr>
              <w:pStyle w:val="6"/>
              <w:spacing w:before="174" w:line="215" w:lineRule="auto"/>
              <w:ind w:left="1341"/>
            </w:pPr>
            <w:r>
              <w:rPr>
                <w:spacing w:val="13"/>
              </w:rPr>
              <w:t>备</w:t>
            </w:r>
            <w:r>
              <w:rPr>
                <w:spacing w:val="-49"/>
              </w:rPr>
              <w:t xml:space="preserve"> </w:t>
            </w:r>
            <w:r>
              <w:rPr>
                <w:spacing w:val="13"/>
              </w:rPr>
              <w:t>注</w:t>
            </w:r>
          </w:p>
        </w:tc>
      </w:tr>
      <w:tr w14:paraId="240FCA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2" w:space="0"/>
              <w:bottom w:val="nil"/>
            </w:tcBorders>
            <w:textDirection w:val="tbRlV"/>
            <w:vAlign w:val="top"/>
          </w:tcPr>
          <w:p w14:paraId="154EB11D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restart"/>
            <w:tcBorders>
              <w:bottom w:val="nil"/>
            </w:tcBorders>
            <w:vAlign w:val="top"/>
          </w:tcPr>
          <w:p w14:paraId="41AAAC2B">
            <w:pPr>
              <w:pStyle w:val="6"/>
              <w:spacing w:before="168" w:line="215" w:lineRule="auto"/>
              <w:rPr>
                <w:spacing w:val="13"/>
              </w:rPr>
            </w:pPr>
            <w:r>
              <w:rPr>
                <w:spacing w:val="13"/>
              </w:rPr>
              <w:t>债</w:t>
            </w:r>
            <w:r>
              <w:rPr>
                <w:spacing w:val="-48"/>
              </w:rPr>
              <w:t xml:space="preserve"> </w:t>
            </w:r>
            <w:r>
              <w:rPr>
                <w:spacing w:val="13"/>
              </w:rPr>
              <w:t>券</w:t>
            </w:r>
          </w:p>
          <w:p w14:paraId="45345ACA">
            <w:pPr>
              <w:pStyle w:val="6"/>
              <w:spacing w:before="168" w:line="215" w:lineRule="auto"/>
            </w:pPr>
            <w:r>
              <w:rPr>
                <w:spacing w:val="-47"/>
              </w:rPr>
              <w:t xml:space="preserve"> </w:t>
            </w:r>
            <w:r>
              <w:rPr>
                <w:spacing w:val="13"/>
              </w:rPr>
              <w:t>名</w:t>
            </w:r>
            <w:r>
              <w:rPr>
                <w:spacing w:val="-49"/>
              </w:rPr>
              <w:t xml:space="preserve"> </w:t>
            </w:r>
            <w:r>
              <w:rPr>
                <w:spacing w:val="13"/>
              </w:rPr>
              <w:t>称</w:t>
            </w:r>
          </w:p>
        </w:tc>
        <w:tc>
          <w:tcPr>
            <w:tcW w:w="624" w:type="dxa"/>
            <w:vMerge w:val="restart"/>
            <w:tcBorders>
              <w:bottom w:val="nil"/>
            </w:tcBorders>
            <w:vAlign w:val="top"/>
          </w:tcPr>
          <w:p w14:paraId="5589BC82">
            <w:pPr>
              <w:pStyle w:val="6"/>
              <w:spacing w:before="168" w:line="215" w:lineRule="auto"/>
              <w:rPr>
                <w:spacing w:val="13"/>
              </w:rPr>
            </w:pPr>
            <w:r>
              <w:rPr>
                <w:spacing w:val="13"/>
              </w:rPr>
              <w:t>债</w:t>
            </w:r>
            <w:r>
              <w:rPr>
                <w:spacing w:val="-48"/>
              </w:rPr>
              <w:t xml:space="preserve"> </w:t>
            </w:r>
            <w:r>
              <w:rPr>
                <w:spacing w:val="13"/>
              </w:rPr>
              <w:t>券</w:t>
            </w:r>
          </w:p>
          <w:p w14:paraId="3A9700A9">
            <w:pPr>
              <w:pStyle w:val="6"/>
              <w:spacing w:before="168" w:line="215" w:lineRule="auto"/>
            </w:pPr>
            <w:r>
              <w:rPr>
                <w:spacing w:val="-47"/>
              </w:rPr>
              <w:t xml:space="preserve"> </w:t>
            </w:r>
            <w:r>
              <w:rPr>
                <w:spacing w:val="13"/>
              </w:rPr>
              <w:t>编</w:t>
            </w:r>
            <w:r>
              <w:rPr>
                <w:spacing w:val="-49"/>
              </w:rPr>
              <w:t xml:space="preserve"> </w:t>
            </w:r>
            <w:r>
              <w:rPr>
                <w:spacing w:val="13"/>
              </w:rPr>
              <w:t>码</w:t>
            </w:r>
          </w:p>
        </w:tc>
        <w:tc>
          <w:tcPr>
            <w:tcW w:w="696" w:type="dxa"/>
            <w:vMerge w:val="restart"/>
            <w:tcBorders>
              <w:bottom w:val="nil"/>
            </w:tcBorders>
            <w:vAlign w:val="top"/>
          </w:tcPr>
          <w:p w14:paraId="50E2FCAE">
            <w:pPr>
              <w:pStyle w:val="6"/>
              <w:spacing w:before="169" w:line="214" w:lineRule="auto"/>
              <w:rPr>
                <w:spacing w:val="13"/>
              </w:rPr>
            </w:pPr>
            <w:r>
              <w:rPr>
                <w:spacing w:val="13"/>
              </w:rPr>
              <w:t>债</w:t>
            </w:r>
            <w:r>
              <w:rPr>
                <w:spacing w:val="-48"/>
              </w:rPr>
              <w:t xml:space="preserve"> </w:t>
            </w:r>
            <w:r>
              <w:rPr>
                <w:spacing w:val="13"/>
              </w:rPr>
              <w:t>券</w:t>
            </w:r>
          </w:p>
          <w:p w14:paraId="7F9BFD46">
            <w:pPr>
              <w:pStyle w:val="6"/>
              <w:spacing w:before="169" w:line="214" w:lineRule="auto"/>
            </w:pPr>
            <w:r>
              <w:rPr>
                <w:spacing w:val="-47"/>
              </w:rPr>
              <w:t xml:space="preserve"> </w:t>
            </w:r>
            <w:r>
              <w:rPr>
                <w:spacing w:val="13"/>
              </w:rPr>
              <w:t>类</w:t>
            </w:r>
            <w:r>
              <w:rPr>
                <w:spacing w:val="-49"/>
              </w:rPr>
              <w:t xml:space="preserve"> </w:t>
            </w:r>
            <w:r>
              <w:rPr>
                <w:spacing w:val="13"/>
              </w:rPr>
              <w:t>型</w:t>
            </w:r>
          </w:p>
        </w:tc>
        <w:tc>
          <w:tcPr>
            <w:tcW w:w="984" w:type="dxa"/>
            <w:vMerge w:val="restart"/>
            <w:tcBorders>
              <w:bottom w:val="nil"/>
            </w:tcBorders>
            <w:vAlign w:val="top"/>
          </w:tcPr>
          <w:p w14:paraId="6850CD5A">
            <w:pPr>
              <w:pStyle w:val="6"/>
              <w:spacing w:before="75" w:line="230" w:lineRule="auto"/>
              <w:ind w:left="120"/>
            </w:pPr>
            <w:r>
              <w:rPr>
                <w:spacing w:val="6"/>
              </w:rPr>
              <w:t>债券规</w:t>
            </w:r>
          </w:p>
          <w:p w14:paraId="3C9B629A">
            <w:pPr>
              <w:pStyle w:val="6"/>
              <w:spacing w:before="25" w:line="250" w:lineRule="auto"/>
              <w:ind w:left="245" w:right="115" w:hanging="127"/>
            </w:pPr>
            <w:r>
              <w:rPr>
                <w:spacing w:val="7"/>
              </w:rPr>
              <w:t>模（万</w:t>
            </w:r>
            <w:r>
              <w:t xml:space="preserve"> </w:t>
            </w:r>
            <w:r>
              <w:rPr>
                <w:spacing w:val="-7"/>
              </w:rPr>
              <w:t>元）</w:t>
            </w:r>
          </w:p>
        </w:tc>
        <w:tc>
          <w:tcPr>
            <w:tcW w:w="804" w:type="dxa"/>
            <w:vMerge w:val="restart"/>
            <w:tcBorders>
              <w:bottom w:val="nil"/>
            </w:tcBorders>
            <w:vAlign w:val="top"/>
          </w:tcPr>
          <w:p w14:paraId="1074CCAC">
            <w:pPr>
              <w:pStyle w:val="6"/>
              <w:spacing w:before="75" w:line="249" w:lineRule="auto"/>
              <w:ind w:right="128"/>
            </w:pPr>
            <w:r>
              <w:rPr>
                <w:spacing w:val="6"/>
              </w:rPr>
              <w:t>发行时</w:t>
            </w:r>
            <w:r>
              <w:t xml:space="preserve"> </w:t>
            </w:r>
            <w:r>
              <w:rPr>
                <w:spacing w:val="3"/>
              </w:rPr>
              <w:t>间（年/</w:t>
            </w:r>
          </w:p>
          <w:p w14:paraId="44F5228F">
            <w:pPr>
              <w:pStyle w:val="6"/>
              <w:spacing w:line="232" w:lineRule="auto"/>
              <w:ind w:left="139"/>
            </w:pPr>
            <w:r>
              <w:rPr>
                <w:spacing w:val="-2"/>
              </w:rPr>
              <w:t>月/日）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679B3C9B">
            <w:pPr>
              <w:pStyle w:val="6"/>
              <w:spacing w:before="75" w:line="252" w:lineRule="auto"/>
              <w:ind w:right="175"/>
            </w:pPr>
            <w:r>
              <w:rPr>
                <w:spacing w:val="6"/>
              </w:rPr>
              <w:t>债券利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率（%）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vAlign w:val="top"/>
          </w:tcPr>
          <w:p w14:paraId="706E0805">
            <w:pPr>
              <w:pStyle w:val="6"/>
              <w:spacing w:before="75" w:line="230" w:lineRule="auto"/>
            </w:pPr>
            <w:r>
              <w:rPr>
                <w:spacing w:val="7"/>
              </w:rPr>
              <w:t>债券期限</w:t>
            </w:r>
            <w:r>
              <w:rPr>
                <w:rFonts w:hint="eastAsia"/>
                <w:spacing w:val="7"/>
                <w:lang w:eastAsia="zh-CN"/>
              </w:rPr>
              <w:t>（</w:t>
            </w:r>
            <w:r>
              <w:rPr>
                <w:spacing w:val="-7"/>
              </w:rPr>
              <w:t>年）</w:t>
            </w:r>
          </w:p>
        </w:tc>
        <w:tc>
          <w:tcPr>
            <w:tcW w:w="924" w:type="dxa"/>
            <w:vMerge w:val="restart"/>
            <w:tcBorders>
              <w:bottom w:val="nil"/>
            </w:tcBorders>
            <w:textDirection w:val="tbRlV"/>
            <w:vAlign w:val="top"/>
          </w:tcPr>
          <w:p w14:paraId="5E525BD9">
            <w:pPr>
              <w:pStyle w:val="6"/>
              <w:spacing w:before="164" w:line="207" w:lineRule="auto"/>
              <w:ind w:left="0" w:leftChars="0" w:firstLine="0" w:firstLineChars="0"/>
            </w:pPr>
            <w:r>
              <w:rPr>
                <w:spacing w:val="13"/>
              </w:rPr>
              <w:t>项</w:t>
            </w:r>
            <w:r>
              <w:rPr>
                <w:spacing w:val="-48"/>
              </w:rPr>
              <w:t xml:space="preserve"> </w:t>
            </w:r>
            <w:r>
              <w:rPr>
                <w:spacing w:val="13"/>
                <w:position w:val="1"/>
              </w:rPr>
              <w:t>目</w:t>
            </w:r>
            <w:r>
              <w:rPr>
                <w:spacing w:val="-47"/>
                <w:position w:val="1"/>
              </w:rPr>
              <w:t xml:space="preserve"> </w:t>
            </w:r>
            <w:r>
              <w:rPr>
                <w:spacing w:val="13"/>
              </w:rPr>
              <w:t>名</w:t>
            </w:r>
            <w:r>
              <w:rPr>
                <w:spacing w:val="-49"/>
              </w:rPr>
              <w:t xml:space="preserve"> </w:t>
            </w:r>
            <w:r>
              <w:rPr>
                <w:spacing w:val="13"/>
              </w:rPr>
              <w:t>称</w:t>
            </w:r>
          </w:p>
        </w:tc>
        <w:tc>
          <w:tcPr>
            <w:tcW w:w="768" w:type="dxa"/>
            <w:vMerge w:val="restart"/>
            <w:tcBorders>
              <w:bottom w:val="nil"/>
            </w:tcBorders>
            <w:textDirection w:val="tbRlV"/>
            <w:vAlign w:val="top"/>
          </w:tcPr>
          <w:p w14:paraId="0BC22701">
            <w:pPr>
              <w:pStyle w:val="6"/>
              <w:spacing w:before="166" w:line="208" w:lineRule="auto"/>
            </w:pPr>
            <w:r>
              <w:rPr>
                <w:spacing w:val="13"/>
              </w:rPr>
              <w:t>项</w:t>
            </w:r>
            <w:r>
              <w:rPr>
                <w:spacing w:val="-47"/>
              </w:rPr>
              <w:t xml:space="preserve"> </w:t>
            </w:r>
            <w:r>
              <w:rPr>
                <w:spacing w:val="13"/>
                <w:position w:val="1"/>
              </w:rPr>
              <w:t>目</w:t>
            </w:r>
            <w:r>
              <w:rPr>
                <w:spacing w:val="-47"/>
                <w:position w:val="1"/>
              </w:rPr>
              <w:t xml:space="preserve"> </w:t>
            </w:r>
            <w:r>
              <w:rPr>
                <w:spacing w:val="13"/>
              </w:rPr>
              <w:t>所</w:t>
            </w:r>
            <w:r>
              <w:rPr>
                <w:spacing w:val="-49"/>
              </w:rPr>
              <w:t xml:space="preserve"> </w:t>
            </w:r>
            <w:r>
              <w:rPr>
                <w:spacing w:val="13"/>
              </w:rPr>
              <w:t>在</w:t>
            </w:r>
            <w:r>
              <w:rPr>
                <w:spacing w:val="-46"/>
              </w:rPr>
              <w:t xml:space="preserve"> </w:t>
            </w:r>
            <w:r>
              <w:rPr>
                <w:spacing w:val="13"/>
              </w:rPr>
              <w:t>地</w:t>
            </w:r>
            <w:r>
              <w:rPr>
                <w:spacing w:val="-47"/>
              </w:rPr>
              <w:t xml:space="preserve"> </w:t>
            </w:r>
            <w:r>
              <w:rPr>
                <w:spacing w:val="13"/>
              </w:rPr>
              <w:t>区</w:t>
            </w:r>
          </w:p>
        </w:tc>
        <w:tc>
          <w:tcPr>
            <w:tcW w:w="1524" w:type="dxa"/>
            <w:gridSpan w:val="2"/>
            <w:vAlign w:val="top"/>
          </w:tcPr>
          <w:p w14:paraId="795ECA2E">
            <w:pPr>
              <w:pStyle w:val="6"/>
              <w:spacing w:before="75" w:line="230" w:lineRule="auto"/>
              <w:ind w:left="114"/>
            </w:pPr>
            <w:r>
              <w:rPr>
                <w:spacing w:val="7"/>
              </w:rPr>
              <w:t>项目总投</w:t>
            </w:r>
          </w:p>
          <w:p w14:paraId="02C70EC0">
            <w:pPr>
              <w:pStyle w:val="6"/>
              <w:spacing w:before="25" w:line="230" w:lineRule="auto"/>
              <w:ind w:left="482"/>
            </w:pPr>
            <w:r>
              <w:t>资</w:t>
            </w:r>
          </w:p>
        </w:tc>
        <w:tc>
          <w:tcPr>
            <w:tcW w:w="1596" w:type="dxa"/>
            <w:gridSpan w:val="2"/>
            <w:vAlign w:val="top"/>
          </w:tcPr>
          <w:p w14:paraId="1C74D9F5">
            <w:pPr>
              <w:pStyle w:val="6"/>
              <w:spacing w:before="75" w:line="230" w:lineRule="auto"/>
              <w:ind w:left="115"/>
            </w:pPr>
            <w:r>
              <w:rPr>
                <w:spacing w:val="7"/>
              </w:rPr>
              <w:t>项目已实</w:t>
            </w:r>
          </w:p>
          <w:p w14:paraId="43E1491A">
            <w:pPr>
              <w:pStyle w:val="6"/>
              <w:spacing w:before="25" w:line="230" w:lineRule="auto"/>
              <w:ind w:left="235"/>
            </w:pPr>
            <w:r>
              <w:rPr>
                <w:spacing w:val="6"/>
              </w:rPr>
              <w:t>现投资</w:t>
            </w:r>
          </w:p>
        </w:tc>
        <w:tc>
          <w:tcPr>
            <w:tcW w:w="853" w:type="dxa"/>
            <w:vMerge w:val="restart"/>
            <w:tcBorders>
              <w:bottom w:val="nil"/>
            </w:tcBorders>
            <w:textDirection w:val="tbRlV"/>
            <w:vAlign w:val="top"/>
          </w:tcPr>
          <w:p w14:paraId="56DC0314">
            <w:pPr>
              <w:pStyle w:val="6"/>
              <w:spacing w:before="164" w:line="216" w:lineRule="auto"/>
              <w:ind w:left="32"/>
            </w:pPr>
            <w:r>
              <w:rPr>
                <w:spacing w:val="13"/>
              </w:rPr>
              <w:t>建</w:t>
            </w:r>
            <w:r>
              <w:rPr>
                <w:spacing w:val="-45"/>
              </w:rPr>
              <w:t xml:space="preserve"> </w:t>
            </w:r>
            <w:r>
              <w:rPr>
                <w:spacing w:val="13"/>
              </w:rPr>
              <w:t>设</w:t>
            </w:r>
            <w:r>
              <w:rPr>
                <w:spacing w:val="-47"/>
              </w:rPr>
              <w:t xml:space="preserve"> </w:t>
            </w:r>
            <w:r>
              <w:rPr>
                <w:spacing w:val="13"/>
              </w:rPr>
              <w:t>进</w:t>
            </w:r>
            <w:r>
              <w:rPr>
                <w:spacing w:val="-49"/>
              </w:rPr>
              <w:t xml:space="preserve"> </w:t>
            </w:r>
            <w:r>
              <w:rPr>
                <w:spacing w:val="13"/>
              </w:rPr>
              <w:t>度</w:t>
            </w:r>
            <w:r>
              <w:rPr>
                <w:spacing w:val="-46"/>
              </w:rPr>
              <w:t xml:space="preserve"> </w:t>
            </w:r>
            <w:r>
              <w:rPr>
                <w:spacing w:val="13"/>
              </w:rPr>
              <w:t>及</w:t>
            </w:r>
            <w:r>
              <w:rPr>
                <w:spacing w:val="-47"/>
              </w:rPr>
              <w:t xml:space="preserve"> </w:t>
            </w:r>
            <w:r>
              <w:rPr>
                <w:spacing w:val="13"/>
              </w:rPr>
              <w:t>运</w:t>
            </w:r>
            <w:r>
              <w:rPr>
                <w:spacing w:val="-49"/>
              </w:rPr>
              <w:t xml:space="preserve"> </w:t>
            </w:r>
            <w:r>
              <w:rPr>
                <w:spacing w:val="13"/>
              </w:rPr>
              <w:t>营</w:t>
            </w:r>
            <w:r>
              <w:rPr>
                <w:spacing w:val="-47"/>
              </w:rPr>
              <w:t xml:space="preserve"> </w:t>
            </w:r>
            <w:r>
              <w:rPr>
                <w:spacing w:val="13"/>
              </w:rPr>
              <w:t>情</w:t>
            </w:r>
            <w:r>
              <w:rPr>
                <w:spacing w:val="-46"/>
              </w:rPr>
              <w:t xml:space="preserve"> </w:t>
            </w:r>
            <w:r>
              <w:rPr>
                <w:spacing w:val="13"/>
              </w:rPr>
              <w:t>况</w:t>
            </w:r>
          </w:p>
        </w:tc>
        <w:tc>
          <w:tcPr>
            <w:tcW w:w="382" w:type="dxa"/>
            <w:vMerge w:val="continue"/>
            <w:tcBorders>
              <w:top w:val="nil"/>
              <w:bottom w:val="nil"/>
              <w:right w:val="single" w:color="000000" w:sz="2" w:space="0"/>
            </w:tcBorders>
            <w:textDirection w:val="tbRlV"/>
            <w:vAlign w:val="top"/>
          </w:tcPr>
          <w:p w14:paraId="05E72661">
            <w:pPr>
              <w:rPr>
                <w:rFonts w:ascii="Arial"/>
                <w:sz w:val="21"/>
              </w:rPr>
            </w:pPr>
          </w:p>
        </w:tc>
      </w:tr>
      <w:tr w14:paraId="1D939F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2" w:space="0"/>
            </w:tcBorders>
            <w:textDirection w:val="tbRlV"/>
            <w:vAlign w:val="top"/>
          </w:tcPr>
          <w:p w14:paraId="5C4A0FBF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  <w:textDirection w:val="tbRlV"/>
            <w:vAlign w:val="top"/>
          </w:tcPr>
          <w:p w14:paraId="46F9120B"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vMerge w:val="continue"/>
            <w:tcBorders>
              <w:top w:val="nil"/>
            </w:tcBorders>
            <w:textDirection w:val="tbRlV"/>
            <w:vAlign w:val="top"/>
          </w:tcPr>
          <w:p w14:paraId="36A53DCE">
            <w:pPr>
              <w:rPr>
                <w:rFonts w:ascii="Arial"/>
                <w:sz w:val="21"/>
              </w:rPr>
            </w:pPr>
          </w:p>
        </w:tc>
        <w:tc>
          <w:tcPr>
            <w:tcW w:w="696" w:type="dxa"/>
            <w:vMerge w:val="continue"/>
            <w:tcBorders>
              <w:top w:val="nil"/>
            </w:tcBorders>
            <w:textDirection w:val="tbRlV"/>
            <w:vAlign w:val="top"/>
          </w:tcPr>
          <w:p w14:paraId="0FD29F84"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vMerge w:val="continue"/>
            <w:tcBorders>
              <w:top w:val="nil"/>
            </w:tcBorders>
            <w:vAlign w:val="top"/>
          </w:tcPr>
          <w:p w14:paraId="64EC3C40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Merge w:val="continue"/>
            <w:tcBorders>
              <w:top w:val="nil"/>
            </w:tcBorders>
            <w:vAlign w:val="top"/>
          </w:tcPr>
          <w:p w14:paraId="158F03E7">
            <w:pPr>
              <w:rPr>
                <w:rFonts w:ascii="Arial"/>
                <w:sz w:val="21"/>
              </w:rPr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3529CFBF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vAlign w:val="top"/>
          </w:tcPr>
          <w:p w14:paraId="5D5F3638"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Merge w:val="continue"/>
            <w:tcBorders>
              <w:top w:val="nil"/>
            </w:tcBorders>
            <w:textDirection w:val="tbRlV"/>
            <w:vAlign w:val="top"/>
          </w:tcPr>
          <w:p w14:paraId="6CD01B10">
            <w:pPr>
              <w:rPr>
                <w:rFonts w:ascii="Arial"/>
                <w:sz w:val="21"/>
              </w:rPr>
            </w:pPr>
          </w:p>
        </w:tc>
        <w:tc>
          <w:tcPr>
            <w:tcW w:w="768" w:type="dxa"/>
            <w:vMerge w:val="continue"/>
            <w:tcBorders>
              <w:top w:val="nil"/>
            </w:tcBorders>
            <w:textDirection w:val="tbRlV"/>
            <w:vAlign w:val="top"/>
          </w:tcPr>
          <w:p w14:paraId="681F462E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tcBorders>
              <w:top w:val="nil"/>
              <w:right w:val="single" w:color="000000" w:sz="2" w:space="0"/>
            </w:tcBorders>
            <w:vAlign w:val="top"/>
          </w:tcPr>
          <w:p w14:paraId="2FB7E632"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tcBorders>
              <w:left w:val="single" w:color="000000" w:sz="2" w:space="0"/>
            </w:tcBorders>
            <w:vAlign w:val="top"/>
          </w:tcPr>
          <w:p w14:paraId="6353A4DF">
            <w:pPr>
              <w:pStyle w:val="6"/>
              <w:spacing w:before="156" w:line="230" w:lineRule="auto"/>
              <w:ind w:left="130"/>
            </w:pPr>
            <w:r>
              <w:rPr>
                <w:spacing w:val="-7"/>
              </w:rPr>
              <w:t>其中：</w:t>
            </w:r>
          </w:p>
          <w:p w14:paraId="165DB84C">
            <w:pPr>
              <w:pStyle w:val="6"/>
              <w:spacing w:before="22" w:line="230" w:lineRule="auto"/>
              <w:ind w:left="127"/>
            </w:pPr>
            <w:r>
              <w:rPr>
                <w:spacing w:val="6"/>
              </w:rPr>
              <w:t>债券资</w:t>
            </w:r>
          </w:p>
          <w:p w14:paraId="767A94F3">
            <w:pPr>
              <w:pStyle w:val="6"/>
              <w:spacing w:before="26" w:line="230" w:lineRule="auto"/>
              <w:ind w:left="128"/>
            </w:pPr>
            <w:r>
              <w:rPr>
                <w:spacing w:val="6"/>
              </w:rPr>
              <w:t>金安排</w:t>
            </w:r>
          </w:p>
        </w:tc>
        <w:tc>
          <w:tcPr>
            <w:tcW w:w="696" w:type="dxa"/>
            <w:tcBorders>
              <w:top w:val="nil"/>
            </w:tcBorders>
            <w:vAlign w:val="top"/>
          </w:tcPr>
          <w:p w14:paraId="78BE9AD9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 w14:paraId="0F7C1A73">
            <w:pPr>
              <w:pStyle w:val="6"/>
              <w:spacing w:before="156" w:line="230" w:lineRule="auto"/>
              <w:ind w:left="126"/>
            </w:pPr>
            <w:r>
              <w:rPr>
                <w:spacing w:val="-7"/>
              </w:rPr>
              <w:t>其中：</w:t>
            </w:r>
          </w:p>
          <w:p w14:paraId="3B591941">
            <w:pPr>
              <w:pStyle w:val="6"/>
              <w:spacing w:before="22" w:line="230" w:lineRule="auto"/>
              <w:ind w:left="123"/>
            </w:pPr>
            <w:r>
              <w:rPr>
                <w:spacing w:val="6"/>
              </w:rPr>
              <w:t>债券资</w:t>
            </w:r>
          </w:p>
          <w:p w14:paraId="7AEEFD4A">
            <w:pPr>
              <w:pStyle w:val="6"/>
              <w:spacing w:before="26" w:line="230" w:lineRule="auto"/>
              <w:ind w:left="124"/>
            </w:pPr>
            <w:r>
              <w:rPr>
                <w:spacing w:val="6"/>
              </w:rPr>
              <w:t>金安排</w:t>
            </w:r>
          </w:p>
        </w:tc>
        <w:tc>
          <w:tcPr>
            <w:tcW w:w="853" w:type="dxa"/>
            <w:vMerge w:val="continue"/>
            <w:tcBorders>
              <w:top w:val="nil"/>
            </w:tcBorders>
            <w:textDirection w:val="tbRlV"/>
            <w:vAlign w:val="top"/>
          </w:tcPr>
          <w:p w14:paraId="2CCDC7A1">
            <w:pPr>
              <w:rPr>
                <w:rFonts w:ascii="Arial"/>
                <w:sz w:val="21"/>
              </w:rPr>
            </w:pPr>
          </w:p>
        </w:tc>
        <w:tc>
          <w:tcPr>
            <w:tcW w:w="382" w:type="dxa"/>
            <w:vMerge w:val="continue"/>
            <w:tcBorders>
              <w:top w:val="nil"/>
              <w:right w:val="single" w:color="000000" w:sz="2" w:space="0"/>
            </w:tcBorders>
            <w:textDirection w:val="tbRlV"/>
            <w:vAlign w:val="top"/>
          </w:tcPr>
          <w:p w14:paraId="3E25782D">
            <w:pPr>
              <w:rPr>
                <w:rFonts w:ascii="Arial"/>
                <w:sz w:val="21"/>
              </w:rPr>
            </w:pPr>
          </w:p>
        </w:tc>
      </w:tr>
      <w:tr w14:paraId="7D4DEE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atLeast"/>
        </w:trPr>
        <w:tc>
          <w:tcPr>
            <w:tcW w:w="660" w:type="dxa"/>
            <w:tcBorders>
              <w:left w:val="single" w:color="000000" w:sz="2" w:space="0"/>
            </w:tcBorders>
            <w:vAlign w:val="center"/>
          </w:tcPr>
          <w:p w14:paraId="1294CF96">
            <w:pPr>
              <w:jc w:val="center"/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广西工商学校</w:t>
            </w:r>
          </w:p>
        </w:tc>
        <w:tc>
          <w:tcPr>
            <w:tcW w:w="960" w:type="dxa"/>
            <w:vAlign w:val="center"/>
          </w:tcPr>
          <w:p w14:paraId="0A693335">
            <w:pPr>
              <w:jc w:val="center"/>
              <w:rPr>
                <w:rFonts w:ascii="Arial"/>
                <w:sz w:val="21"/>
              </w:rPr>
            </w:pPr>
          </w:p>
          <w:p w14:paraId="1EAC52B3"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2023年广西壮族自治区政府一般债券（一期）券）</w:t>
            </w:r>
          </w:p>
          <w:p w14:paraId="6E1080CC">
            <w:pPr>
              <w:bidi w:val="0"/>
              <w:ind w:firstLine="309" w:firstLine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624" w:type="dxa"/>
            <w:vAlign w:val="center"/>
          </w:tcPr>
          <w:p w14:paraId="2E30FE7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96" w:type="dxa"/>
            <w:vAlign w:val="center"/>
          </w:tcPr>
          <w:p w14:paraId="5C2BF54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一般债券</w:t>
            </w:r>
          </w:p>
        </w:tc>
        <w:tc>
          <w:tcPr>
            <w:tcW w:w="984" w:type="dxa"/>
            <w:vAlign w:val="center"/>
          </w:tcPr>
          <w:p w14:paraId="665BA20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1000</w:t>
            </w:r>
          </w:p>
        </w:tc>
        <w:tc>
          <w:tcPr>
            <w:tcW w:w="804" w:type="dxa"/>
            <w:vAlign w:val="center"/>
          </w:tcPr>
          <w:p w14:paraId="629B7EE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2023年02月16日</w:t>
            </w:r>
          </w:p>
        </w:tc>
        <w:tc>
          <w:tcPr>
            <w:tcW w:w="792" w:type="dxa"/>
            <w:vAlign w:val="center"/>
          </w:tcPr>
          <w:p w14:paraId="408656C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center"/>
          </w:tcPr>
          <w:p w14:paraId="2234010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  <w:tc>
          <w:tcPr>
            <w:tcW w:w="924" w:type="dxa"/>
            <w:vAlign w:val="center"/>
          </w:tcPr>
          <w:p w14:paraId="1E765BA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教育领域基础能力提升项目资金（一般债券）</w:t>
            </w:r>
          </w:p>
        </w:tc>
        <w:tc>
          <w:tcPr>
            <w:tcW w:w="768" w:type="dxa"/>
            <w:vAlign w:val="center"/>
          </w:tcPr>
          <w:p w14:paraId="56B020F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广西南宁市武鸣区发展大道12号</w:t>
            </w:r>
          </w:p>
        </w:tc>
        <w:tc>
          <w:tcPr>
            <w:tcW w:w="648" w:type="dxa"/>
            <w:vAlign w:val="center"/>
          </w:tcPr>
          <w:p w14:paraId="14DC7B6F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1000</w:t>
            </w:r>
          </w:p>
        </w:tc>
        <w:tc>
          <w:tcPr>
            <w:tcW w:w="876" w:type="dxa"/>
            <w:vAlign w:val="center"/>
          </w:tcPr>
          <w:p w14:paraId="52BA1C3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1000</w:t>
            </w:r>
          </w:p>
        </w:tc>
        <w:tc>
          <w:tcPr>
            <w:tcW w:w="696" w:type="dxa"/>
            <w:vAlign w:val="center"/>
          </w:tcPr>
          <w:p w14:paraId="20B6D59F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1000</w:t>
            </w:r>
          </w:p>
        </w:tc>
        <w:tc>
          <w:tcPr>
            <w:tcW w:w="900" w:type="dxa"/>
            <w:vAlign w:val="center"/>
          </w:tcPr>
          <w:p w14:paraId="69909BC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1000</w:t>
            </w:r>
          </w:p>
        </w:tc>
        <w:tc>
          <w:tcPr>
            <w:tcW w:w="853" w:type="dxa"/>
            <w:vAlign w:val="center"/>
          </w:tcPr>
          <w:p w14:paraId="2E75E65E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完成100%建设进度，项目已投入运营。</w:t>
            </w:r>
          </w:p>
        </w:tc>
        <w:tc>
          <w:tcPr>
            <w:tcW w:w="382" w:type="dxa"/>
            <w:tcBorders>
              <w:right w:val="single" w:color="000000" w:sz="2" w:space="0"/>
            </w:tcBorders>
            <w:vAlign w:val="center"/>
          </w:tcPr>
          <w:p w14:paraId="6617BB9E">
            <w:pPr>
              <w:jc w:val="center"/>
              <w:rPr>
                <w:rFonts w:ascii="Arial"/>
                <w:sz w:val="21"/>
              </w:rPr>
            </w:pPr>
          </w:p>
        </w:tc>
      </w:tr>
      <w:tr w14:paraId="1E187F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660" w:type="dxa"/>
            <w:tcBorders>
              <w:left w:val="single" w:color="000000" w:sz="2" w:space="0"/>
            </w:tcBorders>
            <w:vAlign w:val="center"/>
          </w:tcPr>
          <w:p w14:paraId="09EF495F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广西工商学校</w:t>
            </w:r>
          </w:p>
        </w:tc>
        <w:tc>
          <w:tcPr>
            <w:tcW w:w="960" w:type="dxa"/>
            <w:vAlign w:val="center"/>
          </w:tcPr>
          <w:p w14:paraId="5F52B7E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2023年广西壮族自治区政府一般债券（十六期）</w:t>
            </w:r>
          </w:p>
        </w:tc>
        <w:tc>
          <w:tcPr>
            <w:tcW w:w="624" w:type="dxa"/>
            <w:vAlign w:val="center"/>
          </w:tcPr>
          <w:p w14:paraId="14FC329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96" w:type="dxa"/>
            <w:vAlign w:val="center"/>
          </w:tcPr>
          <w:p w14:paraId="3C377BD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一般债券</w:t>
            </w:r>
          </w:p>
        </w:tc>
        <w:tc>
          <w:tcPr>
            <w:tcW w:w="984" w:type="dxa"/>
            <w:vAlign w:val="center"/>
          </w:tcPr>
          <w:p w14:paraId="5566F3F0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4000</w:t>
            </w:r>
          </w:p>
        </w:tc>
        <w:tc>
          <w:tcPr>
            <w:tcW w:w="804" w:type="dxa"/>
            <w:vAlign w:val="center"/>
          </w:tcPr>
          <w:p w14:paraId="0735162E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</w:rPr>
              <w:t>2023</w:t>
            </w:r>
            <w:r>
              <w:rPr>
                <w:rFonts w:hint="eastAsia" w:eastAsia="宋体"/>
                <w:sz w:val="21"/>
                <w:lang w:val="en-US" w:eastAsia="zh-CN"/>
              </w:rPr>
              <w:t>月</w:t>
            </w:r>
            <w:r>
              <w:rPr>
                <w:rFonts w:hint="eastAsia" w:ascii="Arial"/>
                <w:sz w:val="21"/>
              </w:rPr>
              <w:t>12</w:t>
            </w:r>
            <w:r>
              <w:rPr>
                <w:rFonts w:hint="eastAsia" w:eastAsia="宋体"/>
                <w:sz w:val="21"/>
                <w:lang w:val="en-US" w:eastAsia="zh-CN"/>
              </w:rPr>
              <w:t>月</w:t>
            </w:r>
            <w:r>
              <w:rPr>
                <w:rFonts w:hint="eastAsia" w:ascii="Arial"/>
                <w:sz w:val="21"/>
              </w:rPr>
              <w:t>07</w:t>
            </w:r>
            <w:r>
              <w:rPr>
                <w:rFonts w:hint="eastAsia" w:eastAsia="宋体"/>
                <w:sz w:val="21"/>
                <w:lang w:val="en-US" w:eastAsia="zh-CN"/>
              </w:rPr>
              <w:t>日</w:t>
            </w:r>
          </w:p>
        </w:tc>
        <w:tc>
          <w:tcPr>
            <w:tcW w:w="792" w:type="dxa"/>
            <w:vAlign w:val="center"/>
          </w:tcPr>
          <w:p w14:paraId="32B06EA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center"/>
          </w:tcPr>
          <w:p w14:paraId="25B91450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</w:t>
            </w:r>
          </w:p>
        </w:tc>
        <w:tc>
          <w:tcPr>
            <w:tcW w:w="924" w:type="dxa"/>
            <w:vAlign w:val="center"/>
          </w:tcPr>
          <w:p w14:paraId="1AF3FC9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教育领域基础能力提升项目资金（一般债券）</w:t>
            </w:r>
          </w:p>
        </w:tc>
        <w:tc>
          <w:tcPr>
            <w:tcW w:w="768" w:type="dxa"/>
            <w:vAlign w:val="center"/>
          </w:tcPr>
          <w:p w14:paraId="481F976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广西南宁市武鸣区发展大道12号</w:t>
            </w:r>
          </w:p>
        </w:tc>
        <w:tc>
          <w:tcPr>
            <w:tcW w:w="648" w:type="dxa"/>
            <w:vAlign w:val="center"/>
          </w:tcPr>
          <w:p w14:paraId="7A9305B2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4000</w:t>
            </w:r>
          </w:p>
        </w:tc>
        <w:tc>
          <w:tcPr>
            <w:tcW w:w="876" w:type="dxa"/>
            <w:vAlign w:val="center"/>
          </w:tcPr>
          <w:p w14:paraId="4DF8EF3D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4000</w:t>
            </w:r>
          </w:p>
        </w:tc>
        <w:tc>
          <w:tcPr>
            <w:tcW w:w="696" w:type="dxa"/>
            <w:vAlign w:val="center"/>
          </w:tcPr>
          <w:p w14:paraId="6D33A0DB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4000</w:t>
            </w:r>
          </w:p>
        </w:tc>
        <w:tc>
          <w:tcPr>
            <w:tcW w:w="900" w:type="dxa"/>
            <w:vAlign w:val="center"/>
          </w:tcPr>
          <w:p w14:paraId="70F6E6B4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4000</w:t>
            </w:r>
          </w:p>
        </w:tc>
        <w:tc>
          <w:tcPr>
            <w:tcW w:w="853" w:type="dxa"/>
            <w:vAlign w:val="center"/>
          </w:tcPr>
          <w:p w14:paraId="7AE4FCB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完成100%建设进度，项目已投入运营。</w:t>
            </w:r>
          </w:p>
        </w:tc>
        <w:tc>
          <w:tcPr>
            <w:tcW w:w="382" w:type="dxa"/>
            <w:tcBorders>
              <w:right w:val="single" w:color="000000" w:sz="2" w:space="0"/>
            </w:tcBorders>
            <w:vAlign w:val="center"/>
          </w:tcPr>
          <w:p w14:paraId="58A272BC">
            <w:pPr>
              <w:jc w:val="center"/>
              <w:rPr>
                <w:rFonts w:ascii="Arial"/>
                <w:sz w:val="21"/>
              </w:rPr>
            </w:pPr>
          </w:p>
        </w:tc>
      </w:tr>
    </w:tbl>
    <w:p w14:paraId="5A622A5B">
      <w:pPr>
        <w:pStyle w:val="2"/>
        <w:spacing w:before="91" w:line="238" w:lineRule="auto"/>
        <w:ind w:left="1387" w:hanging="836"/>
        <w:rPr>
          <w:sz w:val="28"/>
          <w:szCs w:val="28"/>
        </w:rPr>
      </w:pPr>
      <w:r>
        <w:rPr>
          <w:spacing w:val="-4"/>
          <w:sz w:val="28"/>
          <w:szCs w:val="28"/>
        </w:rPr>
        <w:t>注：1.本表由使用一般债券资金的部门逐笔填</w:t>
      </w:r>
      <w:r>
        <w:rPr>
          <w:spacing w:val="-5"/>
          <w:sz w:val="28"/>
          <w:szCs w:val="28"/>
        </w:rPr>
        <w:t>列后于每年</w:t>
      </w:r>
      <w:r>
        <w:rPr>
          <w:spacing w:val="-50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6</w:t>
      </w:r>
      <w:r>
        <w:rPr>
          <w:spacing w:val="-46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月底前公开，本次反映</w:t>
      </w:r>
      <w:r>
        <w:rPr>
          <w:spacing w:val="-52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2023-2024</w:t>
      </w:r>
      <w:r>
        <w:rPr>
          <w:spacing w:val="-5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年末一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般债券及对应项目情况。</w:t>
      </w:r>
    </w:p>
    <w:p w14:paraId="72237F82">
      <w:pPr>
        <w:pStyle w:val="2"/>
        <w:spacing w:before="2" w:line="214" w:lineRule="auto"/>
        <w:ind w:left="1112"/>
        <w:rPr>
          <w:sz w:val="28"/>
          <w:szCs w:val="28"/>
        </w:rPr>
      </w:pPr>
      <w:r>
        <w:rPr>
          <w:spacing w:val="-3"/>
          <w:sz w:val="28"/>
          <w:szCs w:val="28"/>
        </w:rPr>
        <w:t>2.项目所在地区按照标准行政区划名称填写。</w:t>
      </w:r>
    </w:p>
    <w:p w14:paraId="3D2C2C68">
      <w:pPr>
        <w:spacing w:line="214" w:lineRule="auto"/>
        <w:rPr>
          <w:sz w:val="28"/>
          <w:szCs w:val="28"/>
        </w:rPr>
        <w:sectPr>
          <w:footerReference r:id="rId5" w:type="default"/>
          <w:pgSz w:w="16838" w:h="11906"/>
          <w:pgMar w:top="1011" w:right="2096" w:bottom="1315" w:left="2014" w:header="0" w:footer="951" w:gutter="0"/>
          <w:cols w:space="720" w:num="1"/>
        </w:sectPr>
      </w:pPr>
    </w:p>
    <w:p w14:paraId="3B51222D">
      <w:bookmarkStart w:id="0" w:name="_GoBack"/>
      <w:bookmarkEnd w:id="0"/>
    </w:p>
    <w:sectPr>
      <w:headerReference r:id="rId6" w:type="default"/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8C3406">
    <w:pPr>
      <w:spacing w:line="233" w:lineRule="auto"/>
      <w:ind w:left="11762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7B4256">
    <w:pPr>
      <w:spacing w:line="233" w:lineRule="auto"/>
      <w:ind w:left="400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45CE7">
    <w:pPr>
      <w:spacing w:before="83" w:line="230" w:lineRule="auto"/>
      <w:ind w:left="143"/>
      <w:rPr>
        <w:rFonts w:hint="eastAsia" w:ascii="黑体" w:hAnsi="黑体" w:eastAsia="黑体" w:cs="黑体"/>
        <w:sz w:val="31"/>
        <w:szCs w:val="31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153B2"/>
    <w:rsid w:val="02E35293"/>
    <w:rsid w:val="122C4DDB"/>
    <w:rsid w:val="1A1324AA"/>
    <w:rsid w:val="1A7153B2"/>
    <w:rsid w:val="36C941C4"/>
    <w:rsid w:val="3A135DAD"/>
    <w:rsid w:val="41056F1A"/>
    <w:rsid w:val="58617EC4"/>
    <w:rsid w:val="5C36791F"/>
    <w:rsid w:val="5D1D34D1"/>
    <w:rsid w:val="611D7541"/>
    <w:rsid w:val="72005AE2"/>
    <w:rsid w:val="78865598"/>
    <w:rsid w:val="78D7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黑体" w:hAnsi="黑体" w:eastAsia="黑体" w:cs="黑体"/>
      <w:sz w:val="23"/>
      <w:szCs w:val="23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766</Words>
  <Characters>910</Characters>
  <Lines>0</Lines>
  <Paragraphs>0</Paragraphs>
  <TotalTime>20</TotalTime>
  <ScaleCrop>false</ScaleCrop>
  <LinksUpToDate>false</LinksUpToDate>
  <CharactersWithSpaces>978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2025-06-30T01:19:00Z</dcterms:created>
  <dc:creator>韦典</dc:creator>
  <cp:lastModifiedBy>fairy</cp:lastModifiedBy>
  <dcterms:modified xsi:type="dcterms:W3CDTF">2025-06-30T09:40:25Z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41EECCD1F8324B3C8B4692F1191090D2_13</vt:lpwstr>
  </property>
  <property fmtid="{D5CDD505-2E9C-101B-9397-08002B2CF9AE}" pid="4" name="KSOTemplateDocerSaveRecord">
    <vt:lpwstr>eyJoZGlkIjoiNjMwYzg5NmUyNmIzNDg2ODZkMTI2ODc0NDgwOWZiOWIiLCJ1c2VySWQiOiI1NjI5MjkxNDgifQ==</vt:lpwstr>
  </property>
</Properties>
</file>