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附件1</w:t>
      </w:r>
      <w:bookmarkStart w:id="0" w:name="_GoBack"/>
      <w:bookmarkEnd w:id="0"/>
    </w:p>
    <w:p>
      <w:pPr>
        <w:jc w:val="center"/>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sz w:val="28"/>
          <w:szCs w:val="28"/>
          <w:lang w:val="en-US" w:eastAsia="zh-CN"/>
        </w:rPr>
        <w:t>广西工商学校2024年教师三教改革能力提升研修班项目</w:t>
      </w:r>
      <w:r>
        <w:rPr>
          <w:rFonts w:hint="eastAsia" w:ascii="宋体" w:hAnsi="宋体" w:eastAsia="宋体" w:cs="宋体"/>
          <w:b/>
          <w:bCs/>
          <w:color w:val="auto"/>
          <w:sz w:val="24"/>
          <w:szCs w:val="24"/>
          <w:highlight w:val="none"/>
          <w:u w:val="none"/>
          <w:lang w:val="en-US" w:eastAsia="zh-CN"/>
        </w:rPr>
        <w:t>竞争性磋商评分标准</w:t>
      </w:r>
    </w:p>
    <w:p>
      <w:pPr>
        <w:pStyle w:val="2"/>
        <w:rPr>
          <w:rFonts w:hint="eastAsia"/>
          <w:lang w:val="en-US" w:eastAsia="zh-CN"/>
        </w:rPr>
      </w:pPr>
    </w:p>
    <w:tbl>
      <w:tblPr>
        <w:tblStyle w:val="8"/>
        <w:tblW w:w="10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06"/>
        <w:gridCol w:w="8184"/>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20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评审因素</w:t>
            </w:r>
          </w:p>
        </w:tc>
        <w:tc>
          <w:tcPr>
            <w:tcW w:w="818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评审因素具体内容</w:t>
            </w:r>
          </w:p>
        </w:tc>
        <w:tc>
          <w:tcPr>
            <w:tcW w:w="51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2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0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价格分</w:t>
            </w:r>
          </w:p>
        </w:tc>
        <w:tc>
          <w:tcPr>
            <w:tcW w:w="8184" w:type="dxa"/>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评审报价为供应商的最后报价进行政策性扣除后的价格，评审报价只是作为评审时使用。最终成交供应商的成交金额等于最后报价（如有修正，以确认修正后的最后报价为准）。</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Cs/>
                <w:kern w:val="2"/>
                <w:sz w:val="24"/>
                <w:szCs w:val="24"/>
              </w:rPr>
              <w:t>2.政府采购政策性扣除计算方法</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按照《政府采购促进中小企业发展管理办法》（财库〔2020〕46号）的规定，供应商在其响应文件中提供《中小企业声明函》，且其服务为小型和微型企业承接的，对其最后报价给予10%的扣除。</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（4）政策性扣除计算方法。</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在服务采购项目中，服务由小微企业承接；对符合上述要求的供应商的竞标报价给予10%的扣除，扣除后的价格为评审报价，即评审报价=竞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sz w:val="24"/>
                <w:szCs w:val="24"/>
                <w:u w:val="single"/>
              </w:rPr>
              <w:t xml:space="preserve"> 3 %</w:t>
            </w:r>
            <w:r>
              <w:rPr>
                <w:rFonts w:hint="eastAsia" w:ascii="宋体" w:hAnsi="宋体" w:eastAsia="宋体" w:cs="宋体"/>
                <w:bCs/>
                <w:sz w:val="24"/>
                <w:szCs w:val="24"/>
              </w:rPr>
              <w:t>（范围为2%-3%）的扣除，用扣除后的价格参加评审，扣除后的价格为评审报价，即评审报价=竞标报价×（1-</w:t>
            </w:r>
            <w:r>
              <w:rPr>
                <w:rFonts w:hint="eastAsia" w:ascii="宋体" w:hAnsi="宋体" w:eastAsia="宋体" w:cs="宋体"/>
                <w:bCs/>
                <w:sz w:val="24"/>
                <w:szCs w:val="24"/>
                <w:u w:val="single"/>
              </w:rPr>
              <w:t xml:space="preserve"> 3 </w:t>
            </w:r>
            <w:r>
              <w:rPr>
                <w:rFonts w:hint="eastAsia" w:ascii="宋体" w:hAnsi="宋体" w:eastAsia="宋体" w:cs="宋体"/>
                <w:bCs/>
                <w:sz w:val="24"/>
                <w:szCs w:val="24"/>
              </w:rPr>
              <w:t>%）。除上述情况外，评审报价=竞标报价。</w:t>
            </w:r>
          </w:p>
          <w:p>
            <w:pPr>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（5）除上述情况外，评审报价＝最后报价。</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（6）以进入比较与评价环节的最低的评审报价为基准价，基准价得分为</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u w:val="single"/>
                <w:lang w:val="en-US" w:eastAsia="zh-CN"/>
              </w:rPr>
              <w:t>2</w:t>
            </w:r>
            <w:r>
              <w:rPr>
                <w:rFonts w:hint="eastAsia" w:ascii="宋体" w:hAnsi="宋体" w:eastAsia="宋体" w:cs="宋体"/>
                <w:bCs/>
                <w:kern w:val="2"/>
                <w:sz w:val="24"/>
                <w:szCs w:val="24"/>
                <w:u w:val="single"/>
              </w:rPr>
              <w:t xml:space="preserve">0 </w:t>
            </w:r>
            <w:r>
              <w:rPr>
                <w:rFonts w:hint="eastAsia" w:ascii="宋体" w:hAnsi="宋体" w:eastAsia="宋体" w:cs="宋体"/>
                <w:bCs/>
                <w:kern w:val="2"/>
                <w:sz w:val="24"/>
                <w:szCs w:val="24"/>
              </w:rPr>
              <w:t>分。</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（7）价格分计算公式：</w:t>
            </w:r>
          </w:p>
          <w:p>
            <w:pPr>
              <w:pStyle w:val="5"/>
              <w:keepNext w:val="0"/>
              <w:keepLines w:val="0"/>
              <w:pageBreakBefore w:val="0"/>
              <w:widowControl/>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报价得分=（基准价/最后报价）×</w:t>
            </w:r>
            <w:r>
              <w:rPr>
                <w:rFonts w:hint="eastAsia" w:ascii="宋体" w:hAnsi="宋体" w:eastAsia="宋体" w:cs="宋体"/>
                <w:bCs/>
                <w:kern w:val="2"/>
                <w:sz w:val="24"/>
                <w:szCs w:val="24"/>
                <w:u w:val="single"/>
              </w:rPr>
              <w:t xml:space="preserve"> </w:t>
            </w:r>
            <w:r>
              <w:rPr>
                <w:rFonts w:hint="eastAsia" w:ascii="宋体" w:hAnsi="宋体" w:eastAsia="宋体" w:cs="宋体"/>
                <w:bCs/>
                <w:kern w:val="2"/>
                <w:sz w:val="24"/>
                <w:szCs w:val="24"/>
                <w:u w:val="single"/>
                <w:lang w:val="en-US" w:eastAsia="zh-CN"/>
              </w:rPr>
              <w:t>2</w:t>
            </w:r>
            <w:r>
              <w:rPr>
                <w:rFonts w:hint="eastAsia" w:ascii="宋体" w:hAnsi="宋体" w:eastAsia="宋体" w:cs="宋体"/>
                <w:bCs/>
                <w:kern w:val="2"/>
                <w:sz w:val="24"/>
                <w:szCs w:val="24"/>
                <w:u w:val="single"/>
              </w:rPr>
              <w:t xml:space="preserve">0 </w:t>
            </w:r>
            <w:r>
              <w:rPr>
                <w:rFonts w:hint="eastAsia" w:ascii="宋体" w:hAnsi="宋体" w:eastAsia="宋体" w:cs="宋体"/>
                <w:bCs/>
                <w:kern w:val="2"/>
                <w:sz w:val="24"/>
                <w:szCs w:val="24"/>
              </w:rPr>
              <w:t>分</w:t>
            </w:r>
          </w:p>
        </w:tc>
        <w:tc>
          <w:tcPr>
            <w:tcW w:w="51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2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2</w:t>
            </w:r>
          </w:p>
        </w:tc>
        <w:tc>
          <w:tcPr>
            <w:tcW w:w="120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技术分</w:t>
            </w:r>
          </w:p>
        </w:tc>
        <w:tc>
          <w:tcPr>
            <w:tcW w:w="869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2.1</w:t>
            </w:r>
          </w:p>
        </w:tc>
        <w:tc>
          <w:tcPr>
            <w:tcW w:w="120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bCs/>
                <w:kern w:val="0"/>
                <w:sz w:val="24"/>
                <w:szCs w:val="24"/>
              </w:rPr>
            </w:pPr>
            <w:r>
              <w:rPr>
                <w:rFonts w:hint="eastAsia" w:ascii="宋体" w:hAnsi="宋体" w:eastAsia="宋体" w:cs="宋体"/>
                <w:bCs/>
                <w:kern w:val="0"/>
                <w:sz w:val="24"/>
                <w:szCs w:val="24"/>
              </w:rPr>
              <w:t>技术实施方案分</w:t>
            </w:r>
          </w:p>
        </w:tc>
        <w:tc>
          <w:tcPr>
            <w:tcW w:w="8184" w:type="dxa"/>
            <w:noWrap w:val="0"/>
            <w:vAlign w:val="top"/>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sz w:val="24"/>
                <w:szCs w:val="24"/>
              </w:rPr>
            </w:pPr>
            <w:r>
              <w:rPr>
                <w:rFonts w:hint="eastAsia" w:ascii="宋体" w:hAnsi="宋体" w:eastAsia="宋体" w:cs="宋体"/>
                <w:sz w:val="24"/>
                <w:szCs w:val="24"/>
              </w:rPr>
              <w:t>由评委在打分前根据响应人所提供的技术实施方案优劣情况各自确定响应人所属档次，然后在相应档次内独立打分。</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sz w:val="24"/>
                <w:szCs w:val="24"/>
              </w:rPr>
            </w:pPr>
            <w:r>
              <w:rPr>
                <w:rFonts w:hint="eastAsia" w:ascii="宋体" w:hAnsi="宋体" w:eastAsia="宋体" w:cs="宋体"/>
                <w:sz w:val="24"/>
                <w:szCs w:val="24"/>
              </w:rPr>
              <w:t>一档（10分）：方案总体较为简单，有简要的实施计划，对项目的了解情况粗略，内容中没有明显错漏，方案总体符合采购文件要求。</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sz w:val="24"/>
                <w:szCs w:val="24"/>
              </w:rPr>
            </w:pPr>
            <w:r>
              <w:rPr>
                <w:rFonts w:hint="eastAsia" w:ascii="宋体" w:hAnsi="宋体" w:eastAsia="宋体" w:cs="宋体"/>
                <w:sz w:val="24"/>
                <w:szCs w:val="24"/>
              </w:rPr>
              <w:t>二档（20分）：方案总体内容较为完善、可行，实施计划较为详细，对项目的了解情况较好，细节安排合理，方案总体符合采购文件要求。</w:t>
            </w:r>
          </w:p>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sz w:val="24"/>
                <w:szCs w:val="24"/>
              </w:rPr>
            </w:pPr>
            <w:r>
              <w:rPr>
                <w:rFonts w:hint="eastAsia" w:ascii="宋体" w:hAnsi="宋体" w:eastAsia="宋体" w:cs="宋体"/>
                <w:sz w:val="24"/>
                <w:szCs w:val="24"/>
              </w:rPr>
              <w:t>三档（30分）：方案总体内容完备、合理、优秀，充分满足本项目需求，时间节点明确合理、描述详细、完整，可操作性强，实施工作计划、实施准备和成果目标表述详细，详细描述了服务项目的内容以及实现方式。描述具体详细，完全满足项目的需要，方案可行且具有一定的先进、科学合理性，有明确的项目进度和管理措施。</w:t>
            </w:r>
          </w:p>
        </w:tc>
        <w:tc>
          <w:tcPr>
            <w:tcW w:w="51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5"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2.</w:t>
            </w:r>
            <w:r>
              <w:rPr>
                <w:rFonts w:hint="eastAsia" w:ascii="宋体" w:hAnsi="宋体" w:eastAsia="宋体" w:cs="宋体"/>
                <w:bCs/>
                <w:kern w:val="0"/>
                <w:sz w:val="24"/>
                <w:szCs w:val="24"/>
                <w:lang w:val="en-US" w:eastAsia="zh-CN"/>
              </w:rPr>
              <w:t>2</w:t>
            </w:r>
          </w:p>
        </w:tc>
        <w:tc>
          <w:tcPr>
            <w:tcW w:w="120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Cs/>
                <w:sz w:val="24"/>
                <w:szCs w:val="24"/>
              </w:rPr>
            </w:pPr>
            <w:r>
              <w:rPr>
                <w:rFonts w:hint="eastAsia" w:ascii="宋体" w:hAnsi="宋体" w:eastAsia="宋体" w:cs="宋体"/>
                <w:bCs/>
                <w:sz w:val="24"/>
                <w:szCs w:val="24"/>
              </w:rPr>
              <w:t>售后服务方案</w:t>
            </w:r>
          </w:p>
        </w:tc>
        <w:tc>
          <w:tcPr>
            <w:tcW w:w="8184" w:type="dxa"/>
            <w:noWrap w:val="0"/>
            <w:vAlign w:val="top"/>
          </w:tcPr>
          <w:p>
            <w:pPr>
              <w:pStyle w:val="5"/>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bCs/>
                <w:sz w:val="24"/>
                <w:szCs w:val="24"/>
              </w:rPr>
            </w:pPr>
            <w:r>
              <w:rPr>
                <w:rFonts w:hint="eastAsia" w:ascii="宋体" w:hAnsi="宋体" w:eastAsia="宋体" w:cs="宋体"/>
                <w:bCs/>
                <w:sz w:val="24"/>
                <w:szCs w:val="24"/>
              </w:rPr>
              <w:t>由评委在打分前根据响应人所提供的售后服务施方案优劣情况各自确定响应人所属档次，然后在相应档次内独立打分。</w:t>
            </w:r>
          </w:p>
          <w:p>
            <w:pPr>
              <w:pStyle w:val="5"/>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bCs/>
                <w:sz w:val="24"/>
                <w:szCs w:val="24"/>
              </w:rPr>
            </w:pPr>
            <w:r>
              <w:rPr>
                <w:rFonts w:hint="eastAsia" w:ascii="宋体" w:hAnsi="宋体" w:eastAsia="宋体" w:cs="宋体"/>
                <w:bCs/>
                <w:sz w:val="24"/>
                <w:szCs w:val="24"/>
              </w:rPr>
              <w:t>一档（</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分）：响应文件中提供的售后服务方案较简单，具备基本的售后响应机制，方案总体符合采购文件要求；</w:t>
            </w:r>
          </w:p>
          <w:p>
            <w:pPr>
              <w:pStyle w:val="5"/>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bCs/>
                <w:sz w:val="24"/>
                <w:szCs w:val="24"/>
              </w:rPr>
            </w:pPr>
            <w:r>
              <w:rPr>
                <w:rFonts w:hint="eastAsia" w:ascii="宋体" w:hAnsi="宋体" w:eastAsia="宋体" w:cs="宋体"/>
                <w:bCs/>
                <w:sz w:val="24"/>
                <w:szCs w:val="24"/>
              </w:rPr>
              <w:t>二档（</w:t>
            </w:r>
            <w:r>
              <w:rPr>
                <w:rFonts w:hint="eastAsia" w:ascii="宋体" w:hAnsi="宋体" w:eastAsia="宋体" w:cs="宋体"/>
                <w:bCs/>
                <w:sz w:val="24"/>
                <w:szCs w:val="24"/>
                <w:lang w:val="en-US" w:eastAsia="zh-CN"/>
              </w:rPr>
              <w:t>10</w:t>
            </w:r>
            <w:r>
              <w:rPr>
                <w:rFonts w:hint="eastAsia" w:ascii="宋体" w:hAnsi="宋体" w:eastAsia="宋体" w:cs="宋体"/>
                <w:bCs/>
                <w:sz w:val="24"/>
                <w:szCs w:val="24"/>
              </w:rPr>
              <w:t>分）：响应文件中提供的售后服务方案较完整，有较好的售后响应机制、服务保障措施和人员安排，方案总体符合采购文件要求；</w:t>
            </w:r>
          </w:p>
          <w:p>
            <w:pPr>
              <w:pStyle w:val="5"/>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bCs/>
                <w:sz w:val="24"/>
                <w:szCs w:val="24"/>
              </w:rPr>
            </w:pPr>
            <w:r>
              <w:rPr>
                <w:rFonts w:hint="eastAsia" w:ascii="宋体" w:hAnsi="宋体" w:eastAsia="宋体" w:cs="宋体"/>
                <w:bCs/>
                <w:sz w:val="24"/>
                <w:szCs w:val="24"/>
              </w:rPr>
              <w:t>三档（2</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分）：响应文件中提供的售后服务方案全面、详细，有完善的售后响应机制、服务保障措施和人员安排，流程清晰、科学，拟投入的实施人员有至少 2 名获得项目经理资格认证证书的 (提供证书复印件) </w:t>
            </w:r>
            <w:r>
              <w:rPr>
                <w:rFonts w:hint="eastAsia" w:ascii="宋体" w:hAnsi="宋体" w:eastAsia="宋体" w:cs="宋体"/>
                <w:bCs/>
                <w:sz w:val="24"/>
                <w:szCs w:val="24"/>
                <w:lang w:eastAsia="zh-CN"/>
              </w:rPr>
              <w:t>、</w:t>
            </w:r>
            <w:r>
              <w:rPr>
                <w:rFonts w:hint="eastAsia" w:ascii="宋体" w:hAnsi="宋体" w:eastAsia="宋体" w:cs="宋体"/>
                <w:bCs/>
                <w:sz w:val="24"/>
                <w:szCs w:val="24"/>
              </w:rPr>
              <w:t>方案总体符合或优于采购文件要求。</w:t>
            </w:r>
          </w:p>
        </w:tc>
        <w:tc>
          <w:tcPr>
            <w:tcW w:w="51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2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3</w:t>
            </w:r>
          </w:p>
        </w:tc>
        <w:tc>
          <w:tcPr>
            <w:tcW w:w="120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商务分</w:t>
            </w:r>
          </w:p>
        </w:tc>
        <w:tc>
          <w:tcPr>
            <w:tcW w:w="869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52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1206"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授课专家</w:t>
            </w:r>
          </w:p>
        </w:tc>
        <w:tc>
          <w:tcPr>
            <w:tcW w:w="8184"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投标供应商</w:t>
            </w:r>
            <w:r>
              <w:rPr>
                <w:rFonts w:hint="eastAsia" w:ascii="宋体" w:hAnsi="宋体" w:eastAsia="宋体" w:cs="宋体"/>
                <w:bCs/>
                <w:color w:val="auto"/>
                <w:sz w:val="24"/>
                <w:szCs w:val="24"/>
                <w:highlight w:val="none"/>
                <w:lang w:val="en-US" w:eastAsia="zh-Hans"/>
              </w:rPr>
              <w:t>至少提供</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Hans"/>
              </w:rPr>
              <w:t>名本项目教学指导专家</w:t>
            </w:r>
            <w:r>
              <w:rPr>
                <w:rFonts w:hint="eastAsia" w:ascii="宋体" w:hAnsi="宋体" w:eastAsia="宋体" w:cs="宋体"/>
                <w:bCs/>
                <w:color w:val="auto"/>
                <w:sz w:val="24"/>
                <w:szCs w:val="24"/>
                <w:highlight w:val="none"/>
                <w:lang w:val="en-US" w:eastAsia="zh-CN"/>
              </w:rPr>
              <w:t>。教学指导专家应具备</w:t>
            </w:r>
            <w:r>
              <w:rPr>
                <w:rFonts w:hint="eastAsia" w:ascii="宋体" w:hAnsi="宋体" w:eastAsia="宋体" w:cs="宋体"/>
                <w:sz w:val="24"/>
                <w:szCs w:val="24"/>
                <w:highlight w:val="none"/>
                <w:lang w:val="en-US" w:eastAsia="zh-CN"/>
              </w:rPr>
              <w:t>德育名师工作室主持人、</w:t>
            </w:r>
            <w:r>
              <w:rPr>
                <w:rFonts w:hint="eastAsia" w:ascii="宋体" w:hAnsi="宋体" w:eastAsia="宋体" w:cs="宋体"/>
                <w:bCs/>
                <w:color w:val="auto"/>
                <w:sz w:val="24"/>
                <w:szCs w:val="24"/>
                <w:highlight w:val="none"/>
                <w:lang w:val="en-US" w:eastAsia="zh-CN"/>
              </w:rPr>
              <w:t>职教教育名师工作坊</w:t>
            </w:r>
            <w:r>
              <w:rPr>
                <w:rFonts w:hint="eastAsia" w:ascii="宋体" w:hAnsi="宋体" w:eastAsia="宋体" w:cs="宋体"/>
                <w:sz w:val="24"/>
                <w:szCs w:val="24"/>
                <w:highlight w:val="none"/>
                <w:lang w:val="en-US" w:eastAsia="zh-CN"/>
              </w:rPr>
              <w:t>主持人</w:t>
            </w:r>
            <w:r>
              <w:rPr>
                <w:rFonts w:hint="eastAsia" w:ascii="宋体" w:hAnsi="宋体" w:eastAsia="宋体" w:cs="宋体"/>
                <w:bCs/>
                <w:color w:val="auto"/>
                <w:sz w:val="24"/>
                <w:szCs w:val="24"/>
                <w:highlight w:val="none"/>
                <w:lang w:val="en-US" w:eastAsia="zh-CN"/>
              </w:rPr>
              <w:t>、</w:t>
            </w:r>
            <w:r>
              <w:rPr>
                <w:rFonts w:hint="eastAsia" w:ascii="宋体" w:hAnsi="宋体" w:eastAsia="宋体" w:cs="宋体"/>
                <w:sz w:val="24"/>
                <w:szCs w:val="24"/>
                <w:highlight w:val="none"/>
                <w:lang w:val="en-US" w:eastAsia="zh-CN"/>
              </w:rPr>
              <w:t>教育名校长工作室主持人等领域丰富经验的</w:t>
            </w:r>
            <w:r>
              <w:rPr>
                <w:rFonts w:hint="eastAsia" w:ascii="宋体" w:hAnsi="宋体" w:eastAsia="宋体" w:cs="宋体"/>
                <w:bCs/>
                <w:color w:val="auto"/>
                <w:sz w:val="24"/>
                <w:szCs w:val="24"/>
                <w:highlight w:val="none"/>
                <w:lang w:val="en-US" w:eastAsia="zh-CN"/>
              </w:rPr>
              <w:t>教学指导经验</w:t>
            </w:r>
            <w:r>
              <w:rPr>
                <w:rFonts w:hint="eastAsia" w:ascii="宋体" w:hAnsi="宋体" w:eastAsia="宋体" w:cs="宋体"/>
                <w:sz w:val="24"/>
                <w:szCs w:val="24"/>
                <w:highlight w:val="none"/>
                <w:lang w:val="en-US" w:eastAsia="zh-CN"/>
              </w:rPr>
              <w:t>或职业教育特级教师，名师教授</w:t>
            </w:r>
            <w:r>
              <w:rPr>
                <w:rFonts w:hint="eastAsia" w:ascii="宋体" w:hAnsi="宋体" w:eastAsia="宋体" w:cs="宋体"/>
                <w:bCs/>
                <w:color w:val="auto"/>
                <w:sz w:val="24"/>
                <w:szCs w:val="24"/>
                <w:highlight w:val="none"/>
                <w:lang w:val="en-US" w:eastAsia="zh-CN"/>
              </w:rPr>
              <w:t>。每提供1名专家，得3分，</w:t>
            </w:r>
            <w:r>
              <w:rPr>
                <w:rFonts w:hint="eastAsia" w:ascii="宋体" w:hAnsi="宋体" w:eastAsia="宋体" w:cs="宋体"/>
                <w:bCs/>
                <w:color w:val="auto"/>
                <w:sz w:val="24"/>
                <w:szCs w:val="24"/>
                <w:highlight w:val="none"/>
                <w:lang w:val="en-US" w:eastAsia="zh-Hans"/>
              </w:rPr>
              <w:t>未提供</w:t>
            </w:r>
            <w:r>
              <w:rPr>
                <w:rFonts w:hint="eastAsia" w:ascii="宋体" w:hAnsi="宋体" w:eastAsia="宋体" w:cs="宋体"/>
                <w:bCs/>
                <w:color w:val="auto"/>
                <w:sz w:val="24"/>
                <w:szCs w:val="24"/>
                <w:highlight w:val="none"/>
                <w:lang w:val="en-US" w:eastAsia="zh-CN"/>
              </w:rPr>
              <w:t>不得分，本项满分15分。</w:t>
            </w:r>
          </w:p>
          <w:p>
            <w:pPr>
              <w:pStyle w:val="5"/>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上述</w:t>
            </w:r>
            <w:r>
              <w:rPr>
                <w:rFonts w:hint="eastAsia" w:ascii="宋体" w:hAnsi="宋体" w:eastAsia="宋体" w:cs="宋体"/>
                <w:bCs/>
                <w:color w:val="auto"/>
                <w:sz w:val="24"/>
                <w:szCs w:val="24"/>
                <w:highlight w:val="none"/>
                <w:lang w:val="en-US" w:eastAsia="zh-Hans"/>
              </w:rPr>
              <w:t>教学指导专家</w:t>
            </w:r>
            <w:r>
              <w:rPr>
                <w:rFonts w:hint="eastAsia" w:ascii="宋体" w:hAnsi="宋体" w:eastAsia="宋体" w:cs="宋体"/>
                <w:bCs/>
                <w:color w:val="auto"/>
                <w:sz w:val="24"/>
                <w:szCs w:val="24"/>
                <w:highlight w:val="none"/>
              </w:rPr>
              <w:t>需提供</w:t>
            </w:r>
            <w:r>
              <w:rPr>
                <w:rFonts w:hint="eastAsia" w:ascii="宋体" w:hAnsi="宋体" w:eastAsia="宋体" w:cs="宋体"/>
                <w:bCs/>
                <w:color w:val="auto"/>
                <w:sz w:val="24"/>
                <w:szCs w:val="24"/>
                <w:highlight w:val="none"/>
                <w:lang w:val="en-US" w:eastAsia="zh-CN"/>
              </w:rPr>
              <w:t>相应的</w:t>
            </w:r>
            <w:r>
              <w:rPr>
                <w:rFonts w:hint="eastAsia" w:hAnsi="宋体" w:eastAsia="宋体" w:cs="宋体"/>
                <w:bCs/>
                <w:color w:val="auto"/>
                <w:sz w:val="24"/>
                <w:szCs w:val="24"/>
                <w:highlight w:val="none"/>
                <w:lang w:val="en-US" w:eastAsia="zh-CN"/>
              </w:rPr>
              <w:t>职称</w:t>
            </w:r>
            <w:r>
              <w:rPr>
                <w:rFonts w:hint="eastAsia" w:ascii="宋体" w:hAnsi="宋体" w:eastAsia="宋体" w:cs="宋体"/>
                <w:bCs/>
                <w:color w:val="auto"/>
                <w:sz w:val="24"/>
                <w:szCs w:val="24"/>
                <w:highlight w:val="none"/>
                <w:lang w:val="en-US" w:eastAsia="zh-CN"/>
              </w:rPr>
              <w:t>资格证书</w:t>
            </w:r>
            <w:r>
              <w:rPr>
                <w:rFonts w:hint="eastAsia" w:ascii="宋体" w:hAnsi="宋体" w:eastAsia="宋体" w:cs="宋体"/>
                <w:bCs/>
                <w:color w:val="auto"/>
                <w:sz w:val="24"/>
                <w:szCs w:val="24"/>
                <w:highlight w:val="none"/>
              </w:rPr>
              <w:t>复印件</w:t>
            </w:r>
            <w:r>
              <w:rPr>
                <w:rFonts w:hint="eastAsia" w:ascii="宋体" w:hAnsi="宋体" w:eastAsia="宋体" w:cs="宋体"/>
                <w:bCs/>
                <w:color w:val="auto"/>
                <w:sz w:val="24"/>
                <w:szCs w:val="24"/>
                <w:highlight w:val="none"/>
                <w:lang w:val="en-US" w:eastAsia="zh-CN"/>
              </w:rPr>
              <w:t>和专家简介</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并加盖投标单位公章</w:t>
            </w:r>
            <w:r>
              <w:rPr>
                <w:rFonts w:hint="eastAsia" w:ascii="宋体" w:hAnsi="宋体" w:eastAsia="宋体" w:cs="宋体"/>
                <w:bCs/>
                <w:color w:val="auto"/>
                <w:sz w:val="24"/>
                <w:szCs w:val="24"/>
                <w:highlight w:val="none"/>
              </w:rPr>
              <w:t>。</w:t>
            </w:r>
          </w:p>
        </w:tc>
        <w:tc>
          <w:tcPr>
            <w:tcW w:w="51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2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120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商务资</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信分</w:t>
            </w:r>
          </w:p>
        </w:tc>
        <w:tc>
          <w:tcPr>
            <w:tcW w:w="8184" w:type="dxa"/>
            <w:noWrap w:val="0"/>
            <w:vAlign w:val="top"/>
          </w:tcPr>
          <w:p>
            <w:pPr>
              <w:pStyle w:val="11"/>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投标供应商自20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年1月以来主持并实施的同类项目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培训类、外出调研交流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业绩，响应文件中提供中标通知书或者合同复印件，每项得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分，满分</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c>
          <w:tcPr>
            <w:tcW w:w="51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15" w:type="dxa"/>
            <w:gridSpan w:val="3"/>
            <w:noWrap w:val="0"/>
            <w:vAlign w:val="top"/>
          </w:tcPr>
          <w:p>
            <w:pPr>
              <w:pStyle w:val="5"/>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bCs/>
                <w:kern w:val="2"/>
                <w:sz w:val="24"/>
                <w:szCs w:val="24"/>
              </w:rPr>
            </w:pPr>
            <w:r>
              <w:rPr>
                <w:rFonts w:hint="eastAsia" w:ascii="宋体" w:hAnsi="宋体" w:eastAsia="宋体" w:cs="宋体"/>
                <w:bCs/>
                <w:kern w:val="2"/>
                <w:sz w:val="24"/>
                <w:szCs w:val="24"/>
              </w:rPr>
              <w:t>总得分＝1＋2＋3</w:t>
            </w:r>
          </w:p>
        </w:tc>
        <w:tc>
          <w:tcPr>
            <w:tcW w:w="51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rPr>
                <w:rFonts w:hint="eastAsia" w:ascii="宋体" w:hAnsi="宋体" w:eastAsia="宋体" w:cs="宋体"/>
                <w:kern w:val="0"/>
                <w:sz w:val="24"/>
                <w:szCs w:val="24"/>
              </w:rPr>
            </w:pPr>
          </w:p>
        </w:tc>
      </w:tr>
    </w:tbl>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rPr>
          <w:rFonts w:hint="eastAsia" w:ascii="宋体" w:hAnsi="宋体" w:eastAsia="宋体" w:cs="宋体"/>
          <w:b w:val="0"/>
          <w:bCs w:val="0"/>
          <w:sz w:val="24"/>
          <w:szCs w:val="24"/>
          <w:lang w:val="en-US" w:eastAsia="zh-CN"/>
        </w:rPr>
      </w:pPr>
    </w:p>
    <w:p/>
    <w:sectPr>
      <w:headerReference r:id="rId3" w:type="default"/>
      <w:footerReference r:id="rId4" w:type="default"/>
      <w:pgSz w:w="11906" w:h="16838"/>
      <w:pgMar w:top="1304" w:right="924"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rPr>
        <w:rStyle w:val="10"/>
      </w:rPr>
      <w:instrText xml:space="preserve"> PAGE </w:instrText>
    </w:r>
    <w:r>
      <w:fldChar w:fldCharType="separate"/>
    </w:r>
    <w:r>
      <w:rPr>
        <w:rStyle w:val="10"/>
      </w:rPr>
      <w:t>61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GU2NmFkN2Y0MWJlYzJkOTVkZTU3OWNhNzJhMzcifQ=="/>
  </w:docVars>
  <w:rsids>
    <w:rsidRoot w:val="18DE2A48"/>
    <w:rsid w:val="18DE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3"/>
        <w:numId w:val="1"/>
      </w:numPr>
      <w:spacing w:before="280" w:after="290" w:line="376" w:lineRule="auto"/>
      <w:outlineLvl w:val="3"/>
    </w:pPr>
    <w:rPr>
      <w:rFonts w:ascii="宋体" w:hAnsi="Arial" w:eastAsia="黑体"/>
      <w:b/>
      <w:sz w:val="24"/>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uiPriority w:val="0"/>
  </w:style>
  <w:style w:type="paragraph" w:styleId="4">
    <w:name w:val="index 5"/>
    <w:basedOn w:val="1"/>
    <w:next w:val="1"/>
    <w:qFormat/>
    <w:uiPriority w:val="0"/>
    <w:pPr>
      <w:ind w:left="1680"/>
    </w:pPr>
    <w:rPr>
      <w:rFonts w:ascii="Calibri" w:hAnsi="Calibri"/>
      <w:szCs w:val="22"/>
    </w:rPr>
  </w:style>
  <w:style w:type="paragraph" w:styleId="5">
    <w:name w:val="Plain Text"/>
    <w:basedOn w:val="1"/>
    <w:next w:val="3"/>
    <w:qFormat/>
    <w:uiPriority w:val="0"/>
    <w:rPr>
      <w:rFonts w:ascii="宋体" w:hAnsi="Courier New"/>
      <w:szCs w:val="20"/>
    </w:rPr>
  </w:style>
  <w:style w:type="paragraph" w:styleId="6">
    <w:name w:val="footer"/>
    <w:basedOn w:val="1"/>
    <w:next w:val="4"/>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正文-公11"/>
    <w:basedOn w:val="1"/>
    <w:qFormat/>
    <w:uiPriority w:val="0"/>
    <w:pPr>
      <w:ind w:firstLine="200" w:firstLineChars="200"/>
      <w:jc w:val="left"/>
    </w:pPr>
    <w:rPr>
      <w:rFonts w:ascii="Calibri" w:hAnsi="Calibri" w:eastAsia="仿宋_GB2312"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2024-07-19T07:19:00Z</dcterms:created>
  <dc:creator>Administrator</dc:creator>
  <cp:lastModifiedBy>Administrator</cp:lastModifiedBy>
  <dcterms:modified xsi:type="dcterms:W3CDTF">2024-07-19T07:20:33Z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0C44D447DE824D438C2A423867C451C6_11</vt:lpwstr>
  </property>
</Properties>
</file>